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272F" w14:textId="77777777" w:rsidR="00A95EFB" w:rsidRPr="00A95EFB" w:rsidRDefault="00A95EFB" w:rsidP="0051787E">
      <w:pPr>
        <w:pStyle w:val="Titre1"/>
        <w:spacing w:before="0"/>
        <w:jc w:val="center"/>
        <w:rPr>
          <w:rFonts w:ascii="Calibri" w:hAnsi="Calibri" w:cs="Calibri"/>
          <w:b w:val="0"/>
          <w:color w:val="002060"/>
          <w:sz w:val="20"/>
          <w:szCs w:val="20"/>
        </w:rPr>
      </w:pPr>
      <w:bookmarkStart w:id="0" w:name="_Toc452729938"/>
    </w:p>
    <w:bookmarkEnd w:id="0"/>
    <w:p w14:paraId="5CDFC97E" w14:textId="77777777" w:rsidR="0051787E" w:rsidRPr="0051787E" w:rsidRDefault="0051787E" w:rsidP="00C85ABA">
      <w:pPr>
        <w:rPr>
          <w:rFonts w:ascii="Calibri" w:hAnsi="Calibri" w:cs="Calibri"/>
          <w:color w:val="002060"/>
        </w:rPr>
      </w:pPr>
    </w:p>
    <w:p w14:paraId="189D286D" w14:textId="4DCC5FC2" w:rsidR="002A3401" w:rsidRPr="00A53CFF" w:rsidRDefault="002A3401" w:rsidP="002A3401">
      <w:pPr>
        <w:rPr>
          <w:rFonts w:ascii="Calibri" w:hAnsi="Calibri" w:cs="Calibri"/>
          <w:color w:val="002060"/>
        </w:rPr>
      </w:pPr>
      <w:r w:rsidRPr="00CD33E4">
        <w:rPr>
          <w:rFonts w:ascii="Calibri" w:hAnsi="Calibri" w:cs="Calibri"/>
          <w:b/>
          <w:sz w:val="28"/>
          <w:szCs w:val="28"/>
        </w:rPr>
        <w:t xml:space="preserve">Annexe </w:t>
      </w:r>
      <w:r>
        <w:rPr>
          <w:rFonts w:ascii="Calibri" w:hAnsi="Calibri" w:cs="Calibri"/>
          <w:b/>
          <w:sz w:val="28"/>
          <w:szCs w:val="28"/>
        </w:rPr>
        <w:t>V</w:t>
      </w:r>
      <w:r>
        <w:rPr>
          <w:noProof/>
        </w:rPr>
        <w:t xml:space="preserve"> </w:t>
      </w:r>
    </w:p>
    <w:p w14:paraId="503ED457" w14:textId="3BC0B98B" w:rsidR="0051787E" w:rsidRDefault="0051787E" w:rsidP="007B7921">
      <w:pPr>
        <w:jc w:val="center"/>
        <w:rPr>
          <w:rFonts w:ascii="Calibri" w:hAnsi="Calibri" w:cs="Calibri"/>
          <w:b/>
          <w:color w:val="002060"/>
          <w:lang w:val="en-US"/>
        </w:rPr>
      </w:pPr>
      <w:r w:rsidRPr="0051787E">
        <w:rPr>
          <w:rFonts w:ascii="Calibri" w:hAnsi="Calibri" w:cs="Calibri"/>
          <w:b/>
          <w:color w:val="002060"/>
          <w:lang w:val="en-US"/>
        </w:rPr>
        <w:t>ASSURANCE</w:t>
      </w:r>
    </w:p>
    <w:p w14:paraId="6B9AD1F3" w14:textId="2D7549EB" w:rsidR="007B7921" w:rsidRDefault="007B7921" w:rsidP="007B7921">
      <w:pPr>
        <w:jc w:val="center"/>
        <w:rPr>
          <w:rFonts w:ascii="Calibri" w:hAnsi="Calibri" w:cs="Calibri"/>
          <w:b/>
          <w:color w:val="002060"/>
          <w:lang w:val="en-US"/>
        </w:rPr>
      </w:pPr>
    </w:p>
    <w:p w14:paraId="07A192EB" w14:textId="77777777" w:rsidR="007B7921" w:rsidRPr="0051787E" w:rsidRDefault="007B7921" w:rsidP="007B7921">
      <w:pPr>
        <w:jc w:val="center"/>
        <w:rPr>
          <w:rFonts w:ascii="Calibri" w:hAnsi="Calibri" w:cs="Calibri"/>
          <w:b/>
          <w:lang w:val="en-US"/>
        </w:rPr>
      </w:pPr>
    </w:p>
    <w:p w14:paraId="3F74AABD" w14:textId="4090EF6E" w:rsidR="0051787E" w:rsidRPr="007B7921" w:rsidRDefault="00C85ABA" w:rsidP="005621A6">
      <w:pPr>
        <w:ind w:left="709" w:hanging="709"/>
        <w:jc w:val="both"/>
        <w:rPr>
          <w:rFonts w:ascii="Calibri" w:hAnsi="Calibri" w:cs="Calibri"/>
          <w:color w:val="002060"/>
          <w:sz w:val="22"/>
          <w:szCs w:val="22"/>
        </w:rPr>
      </w:pPr>
      <w:r w:rsidRPr="007B7921">
        <w:rPr>
          <w:rFonts w:ascii="Calibri" w:hAnsi="Calibri" w:cs="Calibri"/>
          <w:sz w:val="22"/>
          <w:szCs w:val="22"/>
          <w:lang w:val="en-US"/>
        </w:rPr>
        <w:tab/>
      </w:r>
      <w:r w:rsidR="0051787E" w:rsidRPr="007B7921">
        <w:rPr>
          <w:rFonts w:ascii="Calibri" w:hAnsi="Calibri" w:cs="Calibri"/>
          <w:color w:val="002060"/>
          <w:sz w:val="22"/>
          <w:szCs w:val="22"/>
        </w:rPr>
        <w:t>Le participant devra bénéficier d’un niveau de couverture adéquat en</w:t>
      </w:r>
      <w:r w:rsidR="00B712A6" w:rsidRPr="007B7921">
        <w:rPr>
          <w:rFonts w:ascii="Calibri" w:hAnsi="Calibri" w:cs="Calibri"/>
          <w:color w:val="002060"/>
          <w:sz w:val="22"/>
          <w:szCs w:val="22"/>
        </w:rPr>
        <w:t xml:space="preserve"> matière de protection sociale : assurance maladie, </w:t>
      </w:r>
      <w:r w:rsidR="0051787E" w:rsidRPr="007B7921">
        <w:rPr>
          <w:rFonts w:ascii="Calibri" w:hAnsi="Calibri" w:cs="Calibri"/>
          <w:color w:val="002060"/>
          <w:sz w:val="22"/>
          <w:szCs w:val="22"/>
        </w:rPr>
        <w:t>accident du travail et responsabilité civile pendant le séjour à l’étranger. Il est à noter que le régime de sécurité sociale français peut, dans certaines conditions qui sont décrites ci-dessous, prendre en charge les frais de santé et les frais liés à un accident du travail survenu lors du stage à l’étranger.</w:t>
      </w:r>
    </w:p>
    <w:p w14:paraId="61CF1E1E" w14:textId="77777777" w:rsidR="0051787E" w:rsidRPr="007B7921" w:rsidRDefault="0051787E" w:rsidP="00C85ABA">
      <w:pPr>
        <w:jc w:val="both"/>
        <w:rPr>
          <w:rFonts w:ascii="Calibri" w:hAnsi="Calibri" w:cs="Calibri"/>
          <w:color w:val="002060"/>
          <w:sz w:val="22"/>
          <w:szCs w:val="22"/>
        </w:rPr>
      </w:pPr>
    </w:p>
    <w:p w14:paraId="3DD80B18" w14:textId="133E2BF3" w:rsidR="0051787E" w:rsidRPr="007B7921" w:rsidRDefault="006A53E9" w:rsidP="005621A6">
      <w:pPr>
        <w:tabs>
          <w:tab w:val="left" w:pos="709"/>
        </w:tabs>
        <w:jc w:val="both"/>
        <w:rPr>
          <w:rFonts w:ascii="Calibri" w:hAnsi="Calibri" w:cs="Calibri"/>
          <w:color w:val="002060"/>
          <w:sz w:val="22"/>
          <w:szCs w:val="22"/>
          <w:u w:val="single"/>
        </w:rPr>
      </w:pPr>
      <w:r w:rsidRPr="007B7921">
        <w:rPr>
          <w:rFonts w:ascii="Calibri" w:hAnsi="Calibri" w:cs="Calibri"/>
          <w:sz w:val="22"/>
          <w:szCs w:val="22"/>
          <w:lang w:val="en-US"/>
        </w:rPr>
        <w:tab/>
      </w:r>
      <w:r w:rsidR="0051787E" w:rsidRPr="007B7921">
        <w:rPr>
          <w:rFonts w:ascii="Calibri" w:hAnsi="Calibri" w:cs="Calibri"/>
          <w:b/>
          <w:bCs/>
          <w:color w:val="002060"/>
          <w:sz w:val="22"/>
          <w:szCs w:val="22"/>
          <w:u w:val="single"/>
        </w:rPr>
        <w:t>Assurance maladie</w:t>
      </w:r>
      <w:r w:rsidR="0051787E" w:rsidRPr="007B7921">
        <w:rPr>
          <w:rFonts w:ascii="Calibri" w:hAnsi="Calibri" w:cs="Calibri"/>
          <w:color w:val="002060"/>
          <w:sz w:val="22"/>
          <w:szCs w:val="22"/>
          <w:u w:val="single"/>
        </w:rPr>
        <w:t xml:space="preserve"> : </w:t>
      </w:r>
      <w:r w:rsidR="0051787E" w:rsidRPr="007B7921">
        <w:rPr>
          <w:rFonts w:ascii="Calibri" w:hAnsi="Calibri" w:cs="Calibri"/>
          <w:b/>
          <w:bCs/>
          <w:color w:val="002060"/>
          <w:sz w:val="22"/>
          <w:szCs w:val="22"/>
          <w:u w:val="single"/>
        </w:rPr>
        <w:t>obligatoire pour les études et les stages</w:t>
      </w:r>
    </w:p>
    <w:p w14:paraId="300E8D1C" w14:textId="6AD0DD59" w:rsidR="0051787E" w:rsidRPr="007B7921" w:rsidRDefault="0051787E" w:rsidP="00C85ABA">
      <w:pPr>
        <w:tabs>
          <w:tab w:val="left" w:pos="567"/>
        </w:tabs>
        <w:ind w:left="709"/>
        <w:jc w:val="both"/>
        <w:rPr>
          <w:rFonts w:ascii="Calibri" w:hAnsi="Calibri" w:cs="Calibri"/>
          <w:color w:val="002060"/>
          <w:sz w:val="22"/>
          <w:szCs w:val="22"/>
        </w:rPr>
      </w:pPr>
      <w:r w:rsidRPr="007B7921">
        <w:rPr>
          <w:rFonts w:ascii="Calibri" w:hAnsi="Calibri" w:cs="Calibri"/>
          <w:color w:val="002060"/>
          <w:sz w:val="22"/>
          <w:szCs w:val="22"/>
        </w:rPr>
        <w:t xml:space="preserve">Lorsque la mobilité se déroule dans un pays membre de l’Union européenne et de l’Espace économique européen, l’étudiant est couvert par son régime de sécurité sociale étudiant, pour la prise en charge des soins imprévus et médicalement nécessaires. Pour ce faire, l’étudiant doit impérativement demander auprès de son organisme d’assurance maladie, avant son départ en mobilité, la Carte Européenne d’Assurance Maladie (CEAM). </w:t>
      </w:r>
      <w:r w:rsidR="00077E10" w:rsidRPr="007B7921">
        <w:rPr>
          <w:rFonts w:ascii="Calibri" w:hAnsi="Calibri" w:cs="Calibri"/>
          <w:b/>
          <w:color w:val="002060"/>
          <w:sz w:val="22"/>
          <w:szCs w:val="22"/>
        </w:rPr>
        <w:t>L</w:t>
      </w:r>
      <w:r w:rsidRPr="007B7921">
        <w:rPr>
          <w:rFonts w:ascii="Calibri" w:hAnsi="Calibri" w:cs="Calibri"/>
          <w:b/>
          <w:color w:val="002060"/>
          <w:sz w:val="22"/>
          <w:szCs w:val="22"/>
        </w:rPr>
        <w:t>’étudiant doit fournir une copie de sa Carte Européenne d’Assurance Maladie (CEAM) lors de la signature du contrat de mobilité</w:t>
      </w:r>
      <w:r w:rsidRPr="007B7921">
        <w:rPr>
          <w:rFonts w:ascii="Calibri" w:hAnsi="Calibri" w:cs="Calibri"/>
          <w:color w:val="002060"/>
          <w:sz w:val="22"/>
          <w:szCs w:val="22"/>
        </w:rPr>
        <w:t>.</w:t>
      </w:r>
    </w:p>
    <w:p w14:paraId="26A9C74F" w14:textId="666B8A36" w:rsidR="0051787E" w:rsidRPr="007B7921" w:rsidRDefault="0051787E" w:rsidP="00C85ABA">
      <w:pPr>
        <w:tabs>
          <w:tab w:val="left" w:pos="567"/>
        </w:tabs>
        <w:ind w:left="709"/>
        <w:jc w:val="both"/>
        <w:rPr>
          <w:rFonts w:ascii="Calibri" w:hAnsi="Calibri" w:cs="Calibri"/>
          <w:color w:val="002060"/>
          <w:sz w:val="22"/>
          <w:szCs w:val="22"/>
        </w:rPr>
      </w:pPr>
      <w:r w:rsidRPr="007B7921">
        <w:rPr>
          <w:rFonts w:ascii="Calibri" w:hAnsi="Calibri" w:cs="Calibri"/>
          <w:color w:val="002060"/>
          <w:sz w:val="22"/>
          <w:szCs w:val="22"/>
        </w:rPr>
        <w:t xml:space="preserve">Cependant, cette couverture peut s’avérer insuffisante, notamment </w:t>
      </w:r>
      <w:r w:rsidR="001350B9" w:rsidRPr="007B7921">
        <w:rPr>
          <w:rFonts w:ascii="Calibri" w:hAnsi="Calibri" w:cs="Calibri"/>
          <w:color w:val="002060"/>
          <w:sz w:val="22"/>
          <w:szCs w:val="22"/>
        </w:rPr>
        <w:t>en cas de</w:t>
      </w:r>
      <w:r w:rsidRPr="007B7921">
        <w:rPr>
          <w:rFonts w:ascii="Calibri" w:hAnsi="Calibri" w:cs="Calibri"/>
          <w:color w:val="002060"/>
          <w:sz w:val="22"/>
          <w:szCs w:val="22"/>
        </w:rPr>
        <w:t xml:space="preserve"> rapatriement ou d’intervention médicale spécifique. </w:t>
      </w:r>
      <w:r w:rsidR="009F690A" w:rsidRPr="007B7921">
        <w:rPr>
          <w:rFonts w:ascii="Calibri" w:hAnsi="Calibri" w:cs="Calibri"/>
          <w:color w:val="002060"/>
          <w:sz w:val="22"/>
          <w:szCs w:val="22"/>
        </w:rPr>
        <w:t>Pour cela, u</w:t>
      </w:r>
      <w:r w:rsidRPr="007B7921">
        <w:rPr>
          <w:rFonts w:ascii="Calibri" w:hAnsi="Calibri" w:cs="Calibri"/>
          <w:color w:val="002060"/>
          <w:sz w:val="22"/>
          <w:szCs w:val="22"/>
        </w:rPr>
        <w:t xml:space="preserve">ne assurance santé complémentaire peut s’avérer fort utile. Il est de la responsabilité de l’établissement d’envoi d’informer l’étudiant sur </w:t>
      </w:r>
      <w:r w:rsidR="00C733F8" w:rsidRPr="007B7921">
        <w:rPr>
          <w:rFonts w:ascii="Calibri" w:hAnsi="Calibri" w:cs="Calibri"/>
          <w:color w:val="002060"/>
          <w:sz w:val="22"/>
          <w:szCs w:val="22"/>
        </w:rPr>
        <w:t>les diverses couvertures santé.</w:t>
      </w:r>
    </w:p>
    <w:p w14:paraId="1A744F2F" w14:textId="36C3E79D" w:rsidR="0051787E" w:rsidRPr="007B7921" w:rsidRDefault="0051787E" w:rsidP="00C85ABA">
      <w:pPr>
        <w:tabs>
          <w:tab w:val="left" w:pos="567"/>
        </w:tabs>
        <w:ind w:left="709"/>
        <w:jc w:val="both"/>
        <w:rPr>
          <w:rFonts w:ascii="Calibri" w:hAnsi="Calibri" w:cs="Calibri"/>
          <w:color w:val="002060"/>
          <w:sz w:val="22"/>
          <w:szCs w:val="22"/>
        </w:rPr>
      </w:pPr>
      <w:r w:rsidRPr="007B7921">
        <w:rPr>
          <w:rFonts w:ascii="Calibri" w:hAnsi="Calibri" w:cs="Calibri"/>
          <w:color w:val="002060"/>
          <w:sz w:val="22"/>
          <w:szCs w:val="22"/>
        </w:rPr>
        <w:t>Lorsque la mobilité se déroule dans un pays non membre de l’Union européenne et l’Espace économique européen, tels que la Turquie et l’Ancienne République Yougoslave de Macédoine : les étudiants qui engagent des frais de santé à l’étranger peuvent</w:t>
      </w:r>
      <w:r w:rsidR="00A15E7D" w:rsidRPr="007B7921">
        <w:rPr>
          <w:rFonts w:ascii="Calibri" w:hAnsi="Calibri" w:cs="Calibri"/>
          <w:color w:val="002060"/>
          <w:sz w:val="22"/>
          <w:szCs w:val="22"/>
        </w:rPr>
        <w:t>,</w:t>
      </w:r>
      <w:r w:rsidRPr="007B7921">
        <w:rPr>
          <w:rFonts w:ascii="Calibri" w:hAnsi="Calibri" w:cs="Calibri"/>
          <w:color w:val="002060"/>
          <w:sz w:val="22"/>
          <w:szCs w:val="22"/>
        </w:rPr>
        <w:t xml:space="preserve"> </w:t>
      </w:r>
      <w:r w:rsidR="00E15C73" w:rsidRPr="007B7921">
        <w:rPr>
          <w:rFonts w:ascii="Calibri" w:hAnsi="Calibri" w:cs="Calibri"/>
          <w:color w:val="002060"/>
          <w:sz w:val="22"/>
          <w:szCs w:val="22"/>
        </w:rPr>
        <w:t xml:space="preserve">au retour </w:t>
      </w:r>
      <w:r w:rsidR="00A15E7D" w:rsidRPr="007B7921">
        <w:rPr>
          <w:rFonts w:ascii="Calibri" w:hAnsi="Calibri" w:cs="Calibri"/>
          <w:color w:val="002060"/>
          <w:sz w:val="22"/>
          <w:szCs w:val="22"/>
        </w:rPr>
        <w:t xml:space="preserve">de mobilité </w:t>
      </w:r>
      <w:r w:rsidR="00E15C73" w:rsidRPr="007B7921">
        <w:rPr>
          <w:rFonts w:ascii="Calibri" w:hAnsi="Calibri" w:cs="Calibri"/>
          <w:color w:val="002060"/>
          <w:sz w:val="22"/>
          <w:szCs w:val="22"/>
        </w:rPr>
        <w:t>et sur présentation des justificatifs</w:t>
      </w:r>
      <w:r w:rsidR="00A42173" w:rsidRPr="007B7921">
        <w:rPr>
          <w:rFonts w:ascii="Calibri" w:hAnsi="Calibri" w:cs="Calibri"/>
          <w:color w:val="002060"/>
          <w:sz w:val="22"/>
          <w:szCs w:val="22"/>
        </w:rPr>
        <w:t>,</w:t>
      </w:r>
      <w:r w:rsidR="00E15C73" w:rsidRPr="007B7921">
        <w:rPr>
          <w:rFonts w:ascii="Calibri" w:hAnsi="Calibri" w:cs="Calibri"/>
          <w:color w:val="002060"/>
          <w:sz w:val="22"/>
          <w:szCs w:val="22"/>
        </w:rPr>
        <w:t xml:space="preserve"> </w:t>
      </w:r>
      <w:r w:rsidR="00A42173" w:rsidRPr="007B7921">
        <w:rPr>
          <w:rFonts w:ascii="Calibri" w:hAnsi="Calibri" w:cs="Calibri"/>
          <w:color w:val="002060"/>
          <w:sz w:val="22"/>
          <w:szCs w:val="22"/>
        </w:rPr>
        <w:t>demander le remboursement</w:t>
      </w:r>
      <w:r w:rsidRPr="007B7921">
        <w:rPr>
          <w:rFonts w:ascii="Calibri" w:hAnsi="Calibri" w:cs="Calibri"/>
          <w:color w:val="002060"/>
          <w:sz w:val="22"/>
          <w:szCs w:val="22"/>
        </w:rPr>
        <w:t xml:space="preserve"> auprès de </w:t>
      </w:r>
      <w:r w:rsidR="00E15C73" w:rsidRPr="007B7921">
        <w:rPr>
          <w:rFonts w:ascii="Calibri" w:hAnsi="Calibri" w:cs="Calibri"/>
          <w:color w:val="002060"/>
          <w:sz w:val="22"/>
          <w:szCs w:val="22"/>
        </w:rPr>
        <w:t>leur</w:t>
      </w:r>
      <w:r w:rsidRPr="007B7921">
        <w:rPr>
          <w:rFonts w:ascii="Calibri" w:hAnsi="Calibri" w:cs="Calibri"/>
          <w:color w:val="002060"/>
          <w:sz w:val="22"/>
          <w:szCs w:val="22"/>
        </w:rPr>
        <w:t xml:space="preserve"> Caiss</w:t>
      </w:r>
      <w:r w:rsidR="00E15C73" w:rsidRPr="007B7921">
        <w:rPr>
          <w:rFonts w:ascii="Calibri" w:hAnsi="Calibri" w:cs="Calibri"/>
          <w:color w:val="002060"/>
          <w:sz w:val="22"/>
          <w:szCs w:val="22"/>
        </w:rPr>
        <w:t>e de Sécurité Sociale étudiante.</w:t>
      </w:r>
    </w:p>
    <w:p w14:paraId="7BD980B5" w14:textId="1DC6654C" w:rsidR="0051787E" w:rsidRPr="007B7921" w:rsidRDefault="0051787E" w:rsidP="00C85ABA">
      <w:pPr>
        <w:tabs>
          <w:tab w:val="left" w:pos="567"/>
        </w:tabs>
        <w:ind w:left="709"/>
        <w:jc w:val="both"/>
        <w:rPr>
          <w:rFonts w:ascii="Calibri" w:hAnsi="Calibri" w:cs="Calibri"/>
          <w:color w:val="002060"/>
          <w:sz w:val="22"/>
          <w:szCs w:val="22"/>
        </w:rPr>
      </w:pPr>
      <w:r w:rsidRPr="007B7921">
        <w:rPr>
          <w:rFonts w:ascii="Calibri" w:hAnsi="Calibri" w:cs="Calibri"/>
          <w:color w:val="002060"/>
          <w:sz w:val="22"/>
          <w:szCs w:val="22"/>
        </w:rPr>
        <w:t>Il est fortement recommandé à l’étudiant de souscrire une assurance maladie complémentaire spécifique, valable pour le pays et la durée de la mobilité, auprès de l’organisme de son choix (mutuelle étudiante, mutuelle des parents, compagnie privée ad hoc…).</w:t>
      </w:r>
    </w:p>
    <w:p w14:paraId="63351EB3" w14:textId="7A0CF9F8" w:rsidR="0051787E" w:rsidRPr="007B7921" w:rsidRDefault="0051787E" w:rsidP="00C85ABA">
      <w:pPr>
        <w:ind w:left="709"/>
        <w:jc w:val="both"/>
        <w:rPr>
          <w:rFonts w:ascii="Calibri" w:hAnsi="Calibri" w:cs="Calibri"/>
          <w:color w:val="002060"/>
          <w:sz w:val="22"/>
          <w:szCs w:val="22"/>
        </w:rPr>
      </w:pPr>
      <w:r w:rsidRPr="007B7921">
        <w:rPr>
          <w:rFonts w:ascii="Calibri" w:hAnsi="Calibri" w:cs="Calibri"/>
          <w:color w:val="002060"/>
          <w:sz w:val="22"/>
          <w:szCs w:val="22"/>
          <w:u w:val="single"/>
        </w:rPr>
        <w:t>Exception</w:t>
      </w:r>
      <w:r w:rsidRPr="007B7921">
        <w:rPr>
          <w:rFonts w:ascii="Calibri" w:hAnsi="Calibri" w:cs="Calibri"/>
          <w:color w:val="002060"/>
          <w:sz w:val="22"/>
          <w:szCs w:val="22"/>
        </w:rPr>
        <w:t xml:space="preserve"> : si l’organisme d’accueil fournit à l’étudiant une couverture maladie en vertu des dispositions du droit local, alors l’étudiant peut choisir de bénéficier de </w:t>
      </w:r>
      <w:r w:rsidR="007A53CA" w:rsidRPr="007B7921">
        <w:rPr>
          <w:rFonts w:ascii="Calibri" w:hAnsi="Calibri" w:cs="Calibri"/>
          <w:color w:val="002060"/>
          <w:sz w:val="22"/>
          <w:szCs w:val="22"/>
        </w:rPr>
        <w:t>celle-ci</w:t>
      </w:r>
      <w:r w:rsidRPr="007B7921">
        <w:rPr>
          <w:rFonts w:ascii="Calibri" w:hAnsi="Calibri" w:cs="Calibri"/>
          <w:color w:val="002060"/>
          <w:sz w:val="22"/>
          <w:szCs w:val="22"/>
        </w:rPr>
        <w:t>. Avant d’effectuer un tel choix, il vérifiera l’étendue des garanties proposées.</w:t>
      </w:r>
    </w:p>
    <w:p w14:paraId="2A6B9FD2" w14:textId="72C0A2DE" w:rsidR="00C85ABA" w:rsidRPr="007B7921" w:rsidRDefault="00C85ABA" w:rsidP="00C85ABA">
      <w:pPr>
        <w:jc w:val="both"/>
        <w:rPr>
          <w:rFonts w:ascii="Calibri" w:hAnsi="Calibri" w:cs="Calibri"/>
          <w:sz w:val="22"/>
          <w:szCs w:val="22"/>
          <w:highlight w:val="yellow"/>
        </w:rPr>
      </w:pPr>
    </w:p>
    <w:p w14:paraId="0EB3908C" w14:textId="71B5435E" w:rsidR="00C85ABA" w:rsidRPr="007B7921" w:rsidRDefault="00A148A3" w:rsidP="00A148A3">
      <w:pPr>
        <w:tabs>
          <w:tab w:val="left" w:pos="1440"/>
        </w:tabs>
        <w:rPr>
          <w:rFonts w:ascii="Calibri" w:hAnsi="Calibri" w:cs="Calibri"/>
          <w:sz w:val="22"/>
          <w:szCs w:val="22"/>
          <w:lang w:val="en-US"/>
        </w:rPr>
      </w:pPr>
      <w:r w:rsidRPr="007B7921">
        <w:rPr>
          <w:rFonts w:ascii="Calibri" w:hAnsi="Calibri" w:cs="Calibri"/>
          <w:sz w:val="22"/>
          <w:szCs w:val="22"/>
          <w:lang w:val="en-US"/>
        </w:rPr>
        <w:tab/>
      </w:r>
    </w:p>
    <w:p w14:paraId="27487834" w14:textId="28B32812" w:rsidR="0051787E" w:rsidRPr="007B7921" w:rsidRDefault="006A53E9" w:rsidP="005621A6">
      <w:pPr>
        <w:tabs>
          <w:tab w:val="left" w:pos="567"/>
        </w:tabs>
        <w:rPr>
          <w:rFonts w:ascii="Calibri" w:hAnsi="Calibri" w:cs="Calibri"/>
          <w:color w:val="002060"/>
          <w:sz w:val="22"/>
          <w:szCs w:val="22"/>
          <w:u w:val="single"/>
        </w:rPr>
      </w:pPr>
      <w:r w:rsidRPr="007B7921">
        <w:rPr>
          <w:rFonts w:ascii="Calibri" w:hAnsi="Calibri" w:cs="Calibri"/>
          <w:sz w:val="22"/>
          <w:szCs w:val="22"/>
          <w:lang w:val="en-US"/>
        </w:rPr>
        <w:tab/>
      </w:r>
      <w:r w:rsidR="0051787E" w:rsidRPr="007B7921">
        <w:rPr>
          <w:rFonts w:ascii="Calibri" w:hAnsi="Calibri" w:cs="Calibri"/>
          <w:b/>
          <w:bCs/>
          <w:color w:val="002060"/>
          <w:sz w:val="22"/>
          <w:szCs w:val="22"/>
          <w:u w:val="single"/>
        </w:rPr>
        <w:t>Assurance responsabilité civile</w:t>
      </w:r>
      <w:r w:rsidR="0051787E" w:rsidRPr="007B7921">
        <w:rPr>
          <w:rFonts w:ascii="Calibri" w:hAnsi="Calibri" w:cs="Calibri"/>
          <w:color w:val="002060"/>
          <w:sz w:val="22"/>
          <w:szCs w:val="22"/>
          <w:u w:val="single"/>
        </w:rPr>
        <w:t xml:space="preserve"> : </w:t>
      </w:r>
      <w:r w:rsidR="0051787E" w:rsidRPr="007B7921">
        <w:rPr>
          <w:rFonts w:ascii="Calibri" w:hAnsi="Calibri" w:cs="Calibri"/>
          <w:b/>
          <w:bCs/>
          <w:color w:val="002060"/>
          <w:sz w:val="22"/>
          <w:szCs w:val="22"/>
          <w:u w:val="single"/>
        </w:rPr>
        <w:t>obligatoire pour les stages, facultatif pour les études</w:t>
      </w:r>
    </w:p>
    <w:p w14:paraId="47519EC3" w14:textId="77777777" w:rsidR="0051787E" w:rsidRPr="007B7921" w:rsidRDefault="0051787E" w:rsidP="00C85ABA">
      <w:pPr>
        <w:tabs>
          <w:tab w:val="left" w:pos="426"/>
        </w:tabs>
        <w:ind w:left="567"/>
        <w:jc w:val="both"/>
        <w:rPr>
          <w:rFonts w:ascii="Calibri" w:hAnsi="Calibri" w:cs="Calibri"/>
          <w:color w:val="002060"/>
          <w:sz w:val="22"/>
          <w:szCs w:val="22"/>
        </w:rPr>
      </w:pPr>
      <w:r w:rsidRPr="007B7921">
        <w:rPr>
          <w:rFonts w:ascii="Calibri" w:hAnsi="Calibri" w:cs="Calibri"/>
          <w:color w:val="002060"/>
          <w:sz w:val="22"/>
          <w:szCs w:val="22"/>
        </w:rPr>
        <w:t>Une assurance responsabilité civile couvre les dommages causés par le participant pendant son séjour en mobilité (qu’il soit présent ou non sur le lieu de travail). Il existe différents types de garanties selon les pays impliqués dans les programmes de mobilités de stage transnationales. Le participant court par conséquent le risque de ne pas être couvert. Ainsi, l’établissement d’envoi a la responsabilité de vérifier que l’assurance responsabilité civile couvre obligatoirement à minima les dommages causés par le participant sur le lieu de travail. L’annexe I indique si l’assurance responsabilité civile est prise en charge ou non par l’établissement d’accueil. Si ce n’est pas une obligation légale nationale du pays d’accueil, cela peut ne pas être rendu obligatoire dans l’organisme d’accueil.</w:t>
      </w:r>
    </w:p>
    <w:p w14:paraId="6EE6F268" w14:textId="1C0071E1" w:rsidR="0051787E" w:rsidRPr="007B7921" w:rsidRDefault="0051787E" w:rsidP="00C85ABA">
      <w:pPr>
        <w:tabs>
          <w:tab w:val="left" w:pos="426"/>
        </w:tabs>
        <w:ind w:left="567"/>
        <w:jc w:val="both"/>
        <w:rPr>
          <w:rFonts w:ascii="Calibri" w:hAnsi="Calibri" w:cs="Calibri"/>
          <w:color w:val="002060"/>
          <w:sz w:val="22"/>
          <w:szCs w:val="22"/>
        </w:rPr>
      </w:pPr>
      <w:r w:rsidRPr="007B7921">
        <w:rPr>
          <w:rFonts w:ascii="Calibri" w:hAnsi="Calibri" w:cs="Calibri"/>
          <w:color w:val="002060"/>
          <w:sz w:val="22"/>
          <w:szCs w:val="22"/>
        </w:rPr>
        <w:t>Dans le cas où l’organisme d’accueil ne prévoit pas une telle police d’assurance, l’étudiant s’engage à se couvrir par un contrat d’assistance (rapatriement sanita</w:t>
      </w:r>
      <w:r w:rsidR="006A4E8D" w:rsidRPr="007B7921">
        <w:rPr>
          <w:rFonts w:ascii="Calibri" w:hAnsi="Calibri" w:cs="Calibri"/>
          <w:color w:val="002060"/>
          <w:sz w:val="22"/>
          <w:szCs w:val="22"/>
        </w:rPr>
        <w:t>ire, assistance juridique, etc.</w:t>
      </w:r>
      <w:r w:rsidRPr="007B7921">
        <w:rPr>
          <w:rFonts w:ascii="Calibri" w:hAnsi="Calibri" w:cs="Calibri"/>
          <w:color w:val="002060"/>
          <w:sz w:val="22"/>
          <w:szCs w:val="22"/>
        </w:rPr>
        <w:t xml:space="preserve">.) et par un contrat d’assurance individuelle accident. </w:t>
      </w:r>
      <w:r w:rsidR="00F71B73" w:rsidRPr="007B7921">
        <w:rPr>
          <w:rFonts w:ascii="Calibri" w:hAnsi="Calibri" w:cs="Calibri"/>
          <w:b/>
          <w:color w:val="002060"/>
          <w:sz w:val="22"/>
          <w:szCs w:val="22"/>
        </w:rPr>
        <w:t>L</w:t>
      </w:r>
      <w:r w:rsidRPr="007B7921">
        <w:rPr>
          <w:rFonts w:ascii="Calibri" w:hAnsi="Calibri" w:cs="Calibri"/>
          <w:b/>
          <w:color w:val="002060"/>
          <w:sz w:val="22"/>
          <w:szCs w:val="22"/>
        </w:rPr>
        <w:t xml:space="preserve">e </w:t>
      </w:r>
      <w:r w:rsidR="00027E03" w:rsidRPr="007B7921">
        <w:rPr>
          <w:rFonts w:ascii="Calibri" w:hAnsi="Calibri" w:cs="Calibri"/>
          <w:b/>
          <w:color w:val="002060"/>
          <w:sz w:val="22"/>
          <w:szCs w:val="22"/>
        </w:rPr>
        <w:t>participant</w:t>
      </w:r>
      <w:r w:rsidRPr="007B7921">
        <w:rPr>
          <w:rFonts w:ascii="Calibri" w:hAnsi="Calibri" w:cs="Calibri"/>
          <w:b/>
          <w:color w:val="002060"/>
          <w:sz w:val="22"/>
          <w:szCs w:val="22"/>
        </w:rPr>
        <w:t xml:space="preserve"> doit fournir au moment de la signature du présent contrat et du contrat pédagogique une attestation de responsabilité civile.</w:t>
      </w:r>
    </w:p>
    <w:p w14:paraId="600D9DF7" w14:textId="2C37ACA5" w:rsidR="00C85ABA" w:rsidRPr="007B7921" w:rsidRDefault="00C85ABA" w:rsidP="00C85ABA">
      <w:pPr>
        <w:tabs>
          <w:tab w:val="left" w:pos="567"/>
        </w:tabs>
        <w:jc w:val="both"/>
        <w:rPr>
          <w:rFonts w:ascii="Calibri" w:hAnsi="Calibri" w:cs="Calibri"/>
          <w:sz w:val="22"/>
          <w:szCs w:val="22"/>
          <w:highlight w:val="yellow"/>
        </w:rPr>
      </w:pPr>
    </w:p>
    <w:p w14:paraId="683B6AD3" w14:textId="77777777" w:rsidR="0051787E" w:rsidRPr="007B7921" w:rsidRDefault="0051787E" w:rsidP="00C85ABA">
      <w:pPr>
        <w:tabs>
          <w:tab w:val="left" w:pos="567"/>
        </w:tabs>
        <w:jc w:val="both"/>
        <w:rPr>
          <w:rFonts w:ascii="Calibri" w:hAnsi="Calibri" w:cs="Calibri"/>
          <w:color w:val="002060"/>
          <w:sz w:val="22"/>
          <w:szCs w:val="22"/>
          <w:highlight w:val="yellow"/>
        </w:rPr>
      </w:pPr>
    </w:p>
    <w:p w14:paraId="65254419" w14:textId="7C14F8BA" w:rsidR="0051787E" w:rsidRPr="007B7921" w:rsidRDefault="00C85ABA" w:rsidP="005621A6">
      <w:pPr>
        <w:ind w:left="567" w:hanging="567"/>
        <w:jc w:val="both"/>
        <w:rPr>
          <w:rFonts w:ascii="Calibri" w:hAnsi="Calibri" w:cs="Calibri"/>
          <w:color w:val="002060"/>
          <w:sz w:val="22"/>
          <w:szCs w:val="22"/>
          <w:u w:val="single"/>
        </w:rPr>
      </w:pPr>
      <w:r w:rsidRPr="007B7921">
        <w:rPr>
          <w:rFonts w:ascii="Calibri" w:hAnsi="Calibri" w:cs="Calibri"/>
          <w:sz w:val="22"/>
          <w:szCs w:val="22"/>
          <w:lang w:val="en-US"/>
        </w:rPr>
        <w:tab/>
      </w:r>
      <w:r w:rsidR="0051787E" w:rsidRPr="007B7921">
        <w:rPr>
          <w:rFonts w:ascii="Calibri" w:hAnsi="Calibri" w:cs="Calibri"/>
          <w:color w:val="002060"/>
          <w:sz w:val="22"/>
          <w:szCs w:val="22"/>
          <w:u w:val="single"/>
        </w:rPr>
        <w:t>Assurance accident du travail : obligatoire pour les stages, facultatif pour les études</w:t>
      </w:r>
    </w:p>
    <w:p w14:paraId="2EBB1190" w14:textId="77777777" w:rsidR="0051787E" w:rsidRPr="007B7921" w:rsidRDefault="0051787E" w:rsidP="00A334A8">
      <w:pPr>
        <w:ind w:left="567"/>
        <w:jc w:val="both"/>
        <w:rPr>
          <w:rFonts w:ascii="Calibri" w:hAnsi="Calibri" w:cs="Calibri"/>
          <w:color w:val="002060"/>
          <w:sz w:val="22"/>
          <w:szCs w:val="22"/>
        </w:rPr>
      </w:pPr>
      <w:r w:rsidRPr="007B7921">
        <w:rPr>
          <w:rFonts w:ascii="Calibri" w:hAnsi="Calibri" w:cs="Calibri"/>
          <w:color w:val="002060"/>
          <w:sz w:val="22"/>
          <w:szCs w:val="22"/>
        </w:rPr>
        <w:t xml:space="preserve">Cette assurance couvre les dommages résultant d’un accident causé aux employés sur leur lieu de travail. Pour pouvoir bénéficier de la législation française sur la couverture accident de travail, le présent stage doit : </w:t>
      </w:r>
    </w:p>
    <w:p w14:paraId="1B52DD26" w14:textId="170967BA" w:rsidR="0051787E" w:rsidRPr="007B7921" w:rsidRDefault="0051787E" w:rsidP="0042512D">
      <w:pPr>
        <w:pStyle w:val="Paragraphedeliste"/>
        <w:numPr>
          <w:ilvl w:val="0"/>
          <w:numId w:val="12"/>
        </w:numPr>
        <w:snapToGrid w:val="0"/>
        <w:ind w:left="1276" w:hanging="283"/>
        <w:jc w:val="both"/>
        <w:rPr>
          <w:rFonts w:ascii="Calibri" w:hAnsi="Calibri" w:cs="Calibri"/>
          <w:color w:val="002060"/>
          <w:sz w:val="22"/>
          <w:szCs w:val="22"/>
        </w:rPr>
      </w:pPr>
      <w:r w:rsidRPr="007B7921">
        <w:rPr>
          <w:rFonts w:ascii="Calibri" w:hAnsi="Calibri" w:cs="Calibri"/>
          <w:color w:val="002060"/>
          <w:sz w:val="22"/>
          <w:szCs w:val="22"/>
        </w:rPr>
        <w:t xml:space="preserve">ne donner lieu à aucune rémunération susceptible d’ouvrir des droits à une protection sociale accident du travail dans le pays étranger. Plus d’information sur : </w:t>
      </w:r>
      <w:hyperlink r:id="rId8" w:history="1">
        <w:r w:rsidR="00250DCF" w:rsidRPr="007B7921">
          <w:rPr>
            <w:rStyle w:val="Lienhypertexte"/>
            <w:rFonts w:ascii="Calibri" w:hAnsi="Calibri" w:cs="Calibri"/>
            <w:sz w:val="22"/>
            <w:szCs w:val="22"/>
          </w:rPr>
          <w:t>http://www.cleiss.fr/particuliers/partir/etudes/index.html</w:t>
        </w:r>
      </w:hyperlink>
    </w:p>
    <w:p w14:paraId="1E653499" w14:textId="77777777" w:rsidR="0051787E" w:rsidRPr="007B7921" w:rsidRDefault="0051787E" w:rsidP="00A334A8">
      <w:pPr>
        <w:numPr>
          <w:ilvl w:val="0"/>
          <w:numId w:val="4"/>
        </w:numPr>
        <w:snapToGrid w:val="0"/>
        <w:ind w:left="1276" w:hanging="283"/>
        <w:jc w:val="both"/>
        <w:rPr>
          <w:rFonts w:ascii="Calibri" w:hAnsi="Calibri" w:cs="Calibri"/>
          <w:color w:val="002060"/>
          <w:sz w:val="22"/>
          <w:szCs w:val="22"/>
        </w:rPr>
      </w:pPr>
      <w:r w:rsidRPr="007B7921">
        <w:rPr>
          <w:rFonts w:ascii="Calibri" w:hAnsi="Calibri" w:cs="Calibri"/>
          <w:color w:val="002060"/>
          <w:sz w:val="22"/>
          <w:szCs w:val="22"/>
        </w:rPr>
        <w:t>se dérouler exclusivement dans l’organisme d’accueil apparaissant dans l’annexe I</w:t>
      </w:r>
    </w:p>
    <w:p w14:paraId="55F88C30" w14:textId="13A0CE2C" w:rsidR="0051787E" w:rsidRPr="007B7921" w:rsidRDefault="0051787E" w:rsidP="00A334A8">
      <w:pPr>
        <w:numPr>
          <w:ilvl w:val="0"/>
          <w:numId w:val="4"/>
        </w:numPr>
        <w:snapToGrid w:val="0"/>
        <w:ind w:left="1276" w:hanging="283"/>
        <w:jc w:val="both"/>
        <w:rPr>
          <w:rFonts w:ascii="Calibri" w:hAnsi="Calibri" w:cs="Calibri"/>
          <w:color w:val="002060"/>
          <w:sz w:val="22"/>
          <w:szCs w:val="22"/>
        </w:rPr>
      </w:pPr>
      <w:r w:rsidRPr="007B7921">
        <w:rPr>
          <w:rFonts w:ascii="Calibri" w:hAnsi="Calibri" w:cs="Calibri"/>
          <w:color w:val="002060"/>
          <w:sz w:val="22"/>
          <w:szCs w:val="22"/>
        </w:rPr>
        <w:lastRenderedPageBreak/>
        <w:t>se dérouler exclusivement dans le pays étr</w:t>
      </w:r>
      <w:r w:rsidR="006C79BF" w:rsidRPr="007B7921">
        <w:rPr>
          <w:rFonts w:ascii="Calibri" w:hAnsi="Calibri" w:cs="Calibri"/>
          <w:color w:val="002060"/>
          <w:sz w:val="22"/>
          <w:szCs w:val="22"/>
        </w:rPr>
        <w:t>anger mentionné dans l’annexe I</w:t>
      </w:r>
    </w:p>
    <w:p w14:paraId="50755208" w14:textId="77777777" w:rsidR="0051787E" w:rsidRPr="007B7921" w:rsidRDefault="0051787E" w:rsidP="00A334A8">
      <w:pPr>
        <w:ind w:left="567"/>
        <w:jc w:val="both"/>
        <w:rPr>
          <w:rFonts w:ascii="Calibri" w:hAnsi="Calibri" w:cs="Calibri"/>
          <w:color w:val="002060"/>
          <w:sz w:val="22"/>
          <w:szCs w:val="22"/>
        </w:rPr>
      </w:pPr>
      <w:r w:rsidRPr="007B7921">
        <w:rPr>
          <w:rFonts w:ascii="Calibri" w:hAnsi="Calibri" w:cs="Calibri"/>
          <w:color w:val="002060"/>
          <w:sz w:val="22"/>
          <w:szCs w:val="22"/>
        </w:rPr>
        <w:t>La déclaration des accidents du travail incombe à l’établissement d’envoi qui doit être informé par l’organisme d’accueil par écrit dans un délai de 48 heures.</w:t>
      </w:r>
    </w:p>
    <w:p w14:paraId="640C7F22" w14:textId="77777777" w:rsidR="0051787E" w:rsidRPr="007B7921" w:rsidRDefault="0051787E" w:rsidP="00A334A8">
      <w:pPr>
        <w:ind w:left="567"/>
        <w:jc w:val="both"/>
        <w:rPr>
          <w:rFonts w:ascii="Calibri" w:hAnsi="Calibri" w:cs="Calibri"/>
          <w:color w:val="002060"/>
          <w:sz w:val="22"/>
          <w:szCs w:val="22"/>
        </w:rPr>
      </w:pPr>
      <w:r w:rsidRPr="007B7921">
        <w:rPr>
          <w:rFonts w:ascii="Calibri" w:hAnsi="Calibri" w:cs="Calibri"/>
          <w:color w:val="002060"/>
          <w:sz w:val="22"/>
          <w:szCs w:val="22"/>
        </w:rPr>
        <w:t>La couverture concerne les accidents survenus :</w:t>
      </w:r>
    </w:p>
    <w:p w14:paraId="381477CC" w14:textId="77777777" w:rsidR="0051787E" w:rsidRPr="007B7921" w:rsidRDefault="0051787E" w:rsidP="00A334A8">
      <w:pPr>
        <w:numPr>
          <w:ilvl w:val="0"/>
          <w:numId w:val="5"/>
        </w:numPr>
        <w:snapToGrid w:val="0"/>
        <w:ind w:left="1276" w:hanging="283"/>
        <w:jc w:val="both"/>
        <w:rPr>
          <w:rFonts w:ascii="Calibri" w:hAnsi="Calibri" w:cs="Calibri"/>
          <w:color w:val="002060"/>
          <w:sz w:val="22"/>
          <w:szCs w:val="22"/>
        </w:rPr>
      </w:pPr>
      <w:r w:rsidRPr="007B7921">
        <w:rPr>
          <w:rFonts w:ascii="Calibri" w:hAnsi="Calibri" w:cs="Calibri"/>
          <w:color w:val="002060"/>
          <w:sz w:val="22"/>
          <w:szCs w:val="22"/>
        </w:rPr>
        <w:t>dans l’enceinte du lieu du stage et aux heures de stage</w:t>
      </w:r>
    </w:p>
    <w:p w14:paraId="5148A4C2" w14:textId="1447488A" w:rsidR="0051787E" w:rsidRPr="007B7921" w:rsidRDefault="0051787E" w:rsidP="00654C20">
      <w:pPr>
        <w:numPr>
          <w:ilvl w:val="0"/>
          <w:numId w:val="5"/>
        </w:numPr>
        <w:snapToGrid w:val="0"/>
        <w:ind w:left="1276" w:hanging="283"/>
        <w:jc w:val="both"/>
        <w:rPr>
          <w:rFonts w:ascii="Calibri" w:hAnsi="Calibri" w:cs="Calibri"/>
          <w:color w:val="002060"/>
          <w:sz w:val="22"/>
          <w:szCs w:val="22"/>
        </w:rPr>
      </w:pPr>
      <w:r w:rsidRPr="007B7921">
        <w:rPr>
          <w:rFonts w:ascii="Calibri" w:hAnsi="Calibri" w:cs="Calibri"/>
          <w:color w:val="002060"/>
          <w:sz w:val="22"/>
          <w:szCs w:val="22"/>
        </w:rPr>
        <w:t>sur le trajet aller-retour habituel entre la résidence du stagiaire et le lieu du stage</w:t>
      </w:r>
      <w:r w:rsidR="00654C20" w:rsidRPr="007B7921">
        <w:rPr>
          <w:rFonts w:ascii="Calibri" w:hAnsi="Calibri" w:cs="Calibri"/>
          <w:color w:val="002060"/>
          <w:sz w:val="22"/>
          <w:szCs w:val="22"/>
        </w:rPr>
        <w:t xml:space="preserve"> sur le territoire étranger</w:t>
      </w:r>
    </w:p>
    <w:p w14:paraId="63DD951A" w14:textId="77777777" w:rsidR="0051787E" w:rsidRPr="007B7921" w:rsidRDefault="0051787E" w:rsidP="00A334A8">
      <w:pPr>
        <w:numPr>
          <w:ilvl w:val="0"/>
          <w:numId w:val="5"/>
        </w:numPr>
        <w:snapToGrid w:val="0"/>
        <w:ind w:left="1276" w:hanging="283"/>
        <w:jc w:val="both"/>
        <w:rPr>
          <w:rFonts w:ascii="Calibri" w:hAnsi="Calibri" w:cs="Calibri"/>
          <w:color w:val="002060"/>
          <w:sz w:val="22"/>
          <w:szCs w:val="22"/>
        </w:rPr>
      </w:pPr>
      <w:r w:rsidRPr="007B7921">
        <w:rPr>
          <w:rFonts w:ascii="Calibri" w:hAnsi="Calibri" w:cs="Calibri"/>
          <w:color w:val="002060"/>
          <w:sz w:val="22"/>
          <w:szCs w:val="22"/>
        </w:rPr>
        <w:t>sur le trajet aller-retour (début et fin de stage) du domicile du stagiaire situé sur le territoire français et le lieu de résidence à l’étranger</w:t>
      </w:r>
    </w:p>
    <w:p w14:paraId="365733FF" w14:textId="77777777" w:rsidR="0051787E" w:rsidRPr="007B7921" w:rsidRDefault="0051787E" w:rsidP="00A334A8">
      <w:pPr>
        <w:numPr>
          <w:ilvl w:val="0"/>
          <w:numId w:val="5"/>
        </w:numPr>
        <w:snapToGrid w:val="0"/>
        <w:ind w:left="1276" w:hanging="283"/>
        <w:jc w:val="both"/>
        <w:rPr>
          <w:rFonts w:ascii="Calibri" w:hAnsi="Calibri" w:cs="Calibri"/>
          <w:color w:val="002060"/>
          <w:sz w:val="22"/>
          <w:szCs w:val="22"/>
        </w:rPr>
      </w:pPr>
      <w:r w:rsidRPr="007B7921">
        <w:rPr>
          <w:rFonts w:ascii="Calibri" w:hAnsi="Calibri" w:cs="Calibri"/>
          <w:color w:val="002060"/>
          <w:sz w:val="22"/>
          <w:szCs w:val="22"/>
        </w:rPr>
        <w:t>dans le cadre d’une mission confiée par l’organisme d’accueil et obligatoirement sur ordre de mission.</w:t>
      </w:r>
    </w:p>
    <w:p w14:paraId="0630E501" w14:textId="4F65B264" w:rsidR="0051787E" w:rsidRPr="007B7921" w:rsidRDefault="003D06EE" w:rsidP="00A334A8">
      <w:pPr>
        <w:tabs>
          <w:tab w:val="left" w:pos="567"/>
        </w:tabs>
        <w:ind w:left="567"/>
        <w:jc w:val="both"/>
        <w:rPr>
          <w:rFonts w:ascii="Calibri" w:hAnsi="Calibri" w:cs="Calibri"/>
          <w:color w:val="002060"/>
          <w:sz w:val="22"/>
          <w:szCs w:val="22"/>
        </w:rPr>
      </w:pPr>
      <w:r w:rsidRPr="007B7921">
        <w:rPr>
          <w:rFonts w:ascii="Calibri" w:hAnsi="Calibri" w:cs="Calibri"/>
          <w:color w:val="002060"/>
          <w:sz w:val="22"/>
          <w:szCs w:val="22"/>
        </w:rPr>
        <w:t>L’</w:t>
      </w:r>
      <w:r w:rsidR="0051787E" w:rsidRPr="007B7921">
        <w:rPr>
          <w:rFonts w:ascii="Calibri" w:hAnsi="Calibri" w:cs="Calibri"/>
          <w:color w:val="002060"/>
          <w:sz w:val="22"/>
          <w:szCs w:val="22"/>
        </w:rPr>
        <w:t>établissement d’envoi doit vérifier si l’organisme d’accueil assure les stagiaires contre les accidents du travail et le préciser dans l’annexe I, à la rubrique prévue à cet effet. Si l’organisme d’accueil ne couvre pas le participant (si ce n’est pas une obligation légale nationale du pays d’accueil, cela peut ne pas être rendu obligatoire dans l’organisme d’accueil), l’établissement d’envoi doit s’assurer que le participant est couvert par ce type d’assurance, contractée soit par l’établissement lui-même soit par le participant.</w:t>
      </w:r>
    </w:p>
    <w:p w14:paraId="54AC1D89" w14:textId="77777777" w:rsidR="0051787E" w:rsidRPr="007B7921" w:rsidRDefault="0051787E" w:rsidP="00C85ABA">
      <w:pPr>
        <w:tabs>
          <w:tab w:val="left" w:pos="567"/>
        </w:tabs>
        <w:jc w:val="both"/>
        <w:rPr>
          <w:rFonts w:ascii="Calibri" w:hAnsi="Calibri" w:cs="Calibri"/>
          <w:color w:val="002060"/>
          <w:sz w:val="22"/>
          <w:szCs w:val="22"/>
        </w:rPr>
      </w:pPr>
    </w:p>
    <w:sectPr w:rsidR="0051787E" w:rsidRPr="007B7921" w:rsidSect="00E9047A">
      <w:headerReference w:type="default" r:id="rId9"/>
      <w:footerReference w:type="default" r:id="rId10"/>
      <w:endnotePr>
        <w:numFmt w:val="decimal"/>
      </w:endnotePr>
      <w:pgSz w:w="11900" w:h="16840"/>
      <w:pgMar w:top="851" w:right="794" w:bottom="851" w:left="794"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BCA86" w14:textId="77777777" w:rsidR="00C52C43" w:rsidRDefault="00C52C43" w:rsidP="00EC610C">
      <w:r>
        <w:separator/>
      </w:r>
    </w:p>
  </w:endnote>
  <w:endnote w:type="continuationSeparator" w:id="0">
    <w:p w14:paraId="04C3FCA6" w14:textId="77777777" w:rsidR="00C52C43" w:rsidRDefault="00C52C43"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14006"/>
      <w:docPartObj>
        <w:docPartGallery w:val="Page Numbers (Bottom of Page)"/>
        <w:docPartUnique/>
      </w:docPartObj>
    </w:sdtPr>
    <w:sdtEndPr/>
    <w:sdtContent>
      <w:p w14:paraId="266FA3CA" w14:textId="4B92544D" w:rsidR="00C52C43" w:rsidRDefault="00C52C43">
        <w:pPr>
          <w:pStyle w:val="Pieddepage"/>
        </w:pPr>
        <w:r w:rsidRPr="00CC771F">
          <w:rPr>
            <w:sz w:val="16"/>
            <w:szCs w:val="16"/>
          </w:rPr>
          <w:fldChar w:fldCharType="begin"/>
        </w:r>
        <w:r w:rsidRPr="00CC771F">
          <w:rPr>
            <w:sz w:val="16"/>
            <w:szCs w:val="16"/>
          </w:rPr>
          <w:instrText>PAGE   \* MERGEFORMAT</w:instrText>
        </w:r>
        <w:r w:rsidRPr="00CC771F">
          <w:rPr>
            <w:sz w:val="16"/>
            <w:szCs w:val="16"/>
          </w:rPr>
          <w:fldChar w:fldCharType="separate"/>
        </w:r>
        <w:r w:rsidR="00721B21">
          <w:rPr>
            <w:noProof/>
            <w:sz w:val="16"/>
            <w:szCs w:val="16"/>
          </w:rPr>
          <w:t>1</w:t>
        </w:r>
        <w:r w:rsidRPr="00CC771F">
          <w:rPr>
            <w:sz w:val="16"/>
            <w:szCs w:val="16"/>
          </w:rPr>
          <w:fldChar w:fldCharType="end"/>
        </w:r>
        <w:r>
          <w:rPr>
            <w:sz w:val="16"/>
            <w:szCs w:val="16"/>
          </w:rPr>
          <w:tab/>
        </w:r>
        <w:r>
          <w:rPr>
            <w:sz w:val="16"/>
            <w:szCs w:val="16"/>
          </w:rPr>
          <w:tab/>
        </w:r>
      </w:p>
    </w:sdtContent>
  </w:sdt>
  <w:p w14:paraId="15B2EFB2" w14:textId="77777777" w:rsidR="00C52C43" w:rsidRDefault="00C52C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3BAE" w14:textId="77777777" w:rsidR="00C52C43" w:rsidRDefault="00C52C43" w:rsidP="00EC610C">
      <w:r>
        <w:separator/>
      </w:r>
    </w:p>
  </w:footnote>
  <w:footnote w:type="continuationSeparator" w:id="0">
    <w:p w14:paraId="1FF63269" w14:textId="77777777" w:rsidR="00C52C43" w:rsidRDefault="00C52C43"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5806" w14:textId="15635BBB" w:rsidR="00C52C43" w:rsidRDefault="00C52C43">
    <w:pPr>
      <w:pStyle w:val="En-tte"/>
    </w:pPr>
    <w:r>
      <w:rPr>
        <w:noProof/>
      </w:rPr>
      <w:drawing>
        <wp:anchor distT="0" distB="0" distL="114300" distR="114300" simplePos="0" relativeHeight="251659264" behindDoc="0" locked="0" layoutInCell="1" allowOverlap="1" wp14:anchorId="43731BC2" wp14:editId="7BF0E420">
          <wp:simplePos x="0" y="0"/>
          <wp:positionH relativeFrom="column">
            <wp:posOffset>5311602</wp:posOffset>
          </wp:positionH>
          <wp:positionV relativeFrom="paragraph">
            <wp:posOffset>-349769</wp:posOffset>
          </wp:positionV>
          <wp:extent cx="1412240" cy="514985"/>
          <wp:effectExtent l="0" t="0" r="0" b="0"/>
          <wp:wrapNone/>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a:extLst>
                      <a:ext uri="{28A0092B-C50C-407E-A947-70E740481C1C}">
                        <a14:useLocalDpi xmlns:a14="http://schemas.microsoft.com/office/drawing/2010/main" val="0"/>
                      </a:ext>
                    </a:extLst>
                  </a:blip>
                  <a:stretch>
                    <a:fillRect/>
                  </a:stretch>
                </pic:blipFill>
                <pic:spPr>
                  <a:xfrm>
                    <a:off x="0" y="0"/>
                    <a:ext cx="1412240" cy="5149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1494113" wp14:editId="3A4B2956">
          <wp:simplePos x="0" y="0"/>
          <wp:positionH relativeFrom="column">
            <wp:posOffset>-247015</wp:posOffset>
          </wp:positionH>
          <wp:positionV relativeFrom="paragraph">
            <wp:posOffset>-289560</wp:posOffset>
          </wp:positionV>
          <wp:extent cx="2152015" cy="359410"/>
          <wp:effectExtent l="0" t="0" r="635" b="2540"/>
          <wp:wrapThrough wrapText="bothSides">
            <wp:wrapPolygon edited="0">
              <wp:start x="0" y="0"/>
              <wp:lineTo x="0" y="20608"/>
              <wp:lineTo x="21415" y="20608"/>
              <wp:lineTo x="21415" y="0"/>
              <wp:lineTo x="0" y="0"/>
            </wp:wrapPolygon>
          </wp:wrapThrough>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015" cy="3594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46DB"/>
    <w:multiLevelType w:val="hybridMultilevel"/>
    <w:tmpl w:val="C4B04282"/>
    <w:lvl w:ilvl="0" w:tplc="064E3860">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1"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46711F89"/>
    <w:multiLevelType w:val="hybridMultilevel"/>
    <w:tmpl w:val="A22CEA8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268E875E">
      <w:start w:val="1"/>
      <w:numFmt w:val="bullet"/>
      <w:lvlText w:val=""/>
      <w:lvlJc w:val="left"/>
      <w:pPr>
        <w:ind w:left="3479"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B27CE5"/>
    <w:multiLevelType w:val="hybridMultilevel"/>
    <w:tmpl w:val="62CA5484"/>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1"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936519761">
    <w:abstractNumId w:val="3"/>
  </w:num>
  <w:num w:numId="2" w16cid:durableId="238373106">
    <w:abstractNumId w:val="8"/>
  </w:num>
  <w:num w:numId="3" w16cid:durableId="1329554914">
    <w:abstractNumId w:val="7"/>
  </w:num>
  <w:num w:numId="4" w16cid:durableId="1059061965">
    <w:abstractNumId w:val="11"/>
  </w:num>
  <w:num w:numId="5" w16cid:durableId="1471283446">
    <w:abstractNumId w:val="5"/>
  </w:num>
  <w:num w:numId="6" w16cid:durableId="1903834306">
    <w:abstractNumId w:val="6"/>
  </w:num>
  <w:num w:numId="7" w16cid:durableId="611084859">
    <w:abstractNumId w:val="0"/>
  </w:num>
  <w:num w:numId="8" w16cid:durableId="119421046">
    <w:abstractNumId w:val="2"/>
  </w:num>
  <w:num w:numId="9" w16cid:durableId="397068">
    <w:abstractNumId w:val="9"/>
  </w:num>
  <w:num w:numId="10" w16cid:durableId="1736467074">
    <w:abstractNumId w:val="1"/>
  </w:num>
  <w:num w:numId="11" w16cid:durableId="1329139997">
    <w:abstractNumId w:val="4"/>
  </w:num>
  <w:num w:numId="12" w16cid:durableId="1982806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7825"/>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0C"/>
    <w:rsid w:val="00006343"/>
    <w:rsid w:val="00011182"/>
    <w:rsid w:val="00027E03"/>
    <w:rsid w:val="00037958"/>
    <w:rsid w:val="00046FEA"/>
    <w:rsid w:val="0006120A"/>
    <w:rsid w:val="000631F4"/>
    <w:rsid w:val="00072F31"/>
    <w:rsid w:val="00077E10"/>
    <w:rsid w:val="000B42AD"/>
    <w:rsid w:val="000E4105"/>
    <w:rsid w:val="000E684F"/>
    <w:rsid w:val="0010369A"/>
    <w:rsid w:val="0012077A"/>
    <w:rsid w:val="00131CA7"/>
    <w:rsid w:val="001350B9"/>
    <w:rsid w:val="00137431"/>
    <w:rsid w:val="0014708E"/>
    <w:rsid w:val="0016106D"/>
    <w:rsid w:val="0016678B"/>
    <w:rsid w:val="001756E6"/>
    <w:rsid w:val="00182758"/>
    <w:rsid w:val="001851C6"/>
    <w:rsid w:val="00197929"/>
    <w:rsid w:val="001A18F2"/>
    <w:rsid w:val="001A43A2"/>
    <w:rsid w:val="001A58D9"/>
    <w:rsid w:val="001B328D"/>
    <w:rsid w:val="001C4525"/>
    <w:rsid w:val="001C70CE"/>
    <w:rsid w:val="001D7759"/>
    <w:rsid w:val="0020509D"/>
    <w:rsid w:val="002308CE"/>
    <w:rsid w:val="0024471C"/>
    <w:rsid w:val="00246ACC"/>
    <w:rsid w:val="00250DCF"/>
    <w:rsid w:val="00295E24"/>
    <w:rsid w:val="002A3401"/>
    <w:rsid w:val="002B150B"/>
    <w:rsid w:val="002D036B"/>
    <w:rsid w:val="002D3214"/>
    <w:rsid w:val="002D3644"/>
    <w:rsid w:val="002E1A63"/>
    <w:rsid w:val="002E71CC"/>
    <w:rsid w:val="00300817"/>
    <w:rsid w:val="003222D2"/>
    <w:rsid w:val="00326D07"/>
    <w:rsid w:val="0033175C"/>
    <w:rsid w:val="00340DD1"/>
    <w:rsid w:val="0034309F"/>
    <w:rsid w:val="003645B9"/>
    <w:rsid w:val="0038440E"/>
    <w:rsid w:val="003870E5"/>
    <w:rsid w:val="003C0B56"/>
    <w:rsid w:val="003D06EE"/>
    <w:rsid w:val="003E6647"/>
    <w:rsid w:val="0042512D"/>
    <w:rsid w:val="004308B5"/>
    <w:rsid w:val="004401D9"/>
    <w:rsid w:val="0044051E"/>
    <w:rsid w:val="00465584"/>
    <w:rsid w:val="00477B9D"/>
    <w:rsid w:val="004839E5"/>
    <w:rsid w:val="00490FA2"/>
    <w:rsid w:val="004A7F42"/>
    <w:rsid w:val="004C57B6"/>
    <w:rsid w:val="004E7127"/>
    <w:rsid w:val="004F44A3"/>
    <w:rsid w:val="0051787E"/>
    <w:rsid w:val="00523B7D"/>
    <w:rsid w:val="0055005B"/>
    <w:rsid w:val="00550905"/>
    <w:rsid w:val="005600AD"/>
    <w:rsid w:val="005621A6"/>
    <w:rsid w:val="00594C55"/>
    <w:rsid w:val="005A11C6"/>
    <w:rsid w:val="005A5093"/>
    <w:rsid w:val="005C36D0"/>
    <w:rsid w:val="005C5D22"/>
    <w:rsid w:val="005D2034"/>
    <w:rsid w:val="005F071D"/>
    <w:rsid w:val="00602ADD"/>
    <w:rsid w:val="006118B9"/>
    <w:rsid w:val="00621F59"/>
    <w:rsid w:val="00632E66"/>
    <w:rsid w:val="00636E4E"/>
    <w:rsid w:val="006446A8"/>
    <w:rsid w:val="00654C20"/>
    <w:rsid w:val="00656F95"/>
    <w:rsid w:val="00657B57"/>
    <w:rsid w:val="00670530"/>
    <w:rsid w:val="00670E56"/>
    <w:rsid w:val="006A4E8D"/>
    <w:rsid w:val="006A53E9"/>
    <w:rsid w:val="006C2437"/>
    <w:rsid w:val="006C79BF"/>
    <w:rsid w:val="006E1F2F"/>
    <w:rsid w:val="006E7B25"/>
    <w:rsid w:val="006F53B7"/>
    <w:rsid w:val="006F78DF"/>
    <w:rsid w:val="00721B21"/>
    <w:rsid w:val="00756220"/>
    <w:rsid w:val="00766839"/>
    <w:rsid w:val="00790C33"/>
    <w:rsid w:val="007A3694"/>
    <w:rsid w:val="007A53CA"/>
    <w:rsid w:val="007B21CE"/>
    <w:rsid w:val="007B368D"/>
    <w:rsid w:val="007B7921"/>
    <w:rsid w:val="007C16D9"/>
    <w:rsid w:val="007D14B5"/>
    <w:rsid w:val="007D3234"/>
    <w:rsid w:val="00836A8E"/>
    <w:rsid w:val="008524BC"/>
    <w:rsid w:val="00865C1B"/>
    <w:rsid w:val="008721AE"/>
    <w:rsid w:val="0088180A"/>
    <w:rsid w:val="008A6A85"/>
    <w:rsid w:val="008A7583"/>
    <w:rsid w:val="008B33B7"/>
    <w:rsid w:val="008C008C"/>
    <w:rsid w:val="008C492C"/>
    <w:rsid w:val="008C5BBB"/>
    <w:rsid w:val="008C610B"/>
    <w:rsid w:val="008C7ECF"/>
    <w:rsid w:val="008E0DAA"/>
    <w:rsid w:val="009010FA"/>
    <w:rsid w:val="009358B3"/>
    <w:rsid w:val="00945ED0"/>
    <w:rsid w:val="00983E93"/>
    <w:rsid w:val="009A1FD1"/>
    <w:rsid w:val="009B61DF"/>
    <w:rsid w:val="009C2791"/>
    <w:rsid w:val="009C5D82"/>
    <w:rsid w:val="009D2002"/>
    <w:rsid w:val="009D458D"/>
    <w:rsid w:val="009D59EF"/>
    <w:rsid w:val="009E7D5F"/>
    <w:rsid w:val="009F690A"/>
    <w:rsid w:val="00A148A3"/>
    <w:rsid w:val="00A15E7D"/>
    <w:rsid w:val="00A1715F"/>
    <w:rsid w:val="00A32CF9"/>
    <w:rsid w:val="00A334A8"/>
    <w:rsid w:val="00A33A75"/>
    <w:rsid w:val="00A42173"/>
    <w:rsid w:val="00A50738"/>
    <w:rsid w:val="00A51FEE"/>
    <w:rsid w:val="00A52306"/>
    <w:rsid w:val="00A71C85"/>
    <w:rsid w:val="00A770E5"/>
    <w:rsid w:val="00A83A9F"/>
    <w:rsid w:val="00A955A7"/>
    <w:rsid w:val="00A95EFB"/>
    <w:rsid w:val="00A97036"/>
    <w:rsid w:val="00AA17B7"/>
    <w:rsid w:val="00AB1C15"/>
    <w:rsid w:val="00AB6870"/>
    <w:rsid w:val="00AD5B08"/>
    <w:rsid w:val="00AE34F1"/>
    <w:rsid w:val="00AF7394"/>
    <w:rsid w:val="00AF7CA0"/>
    <w:rsid w:val="00B023A8"/>
    <w:rsid w:val="00B05F92"/>
    <w:rsid w:val="00B12169"/>
    <w:rsid w:val="00B12891"/>
    <w:rsid w:val="00B209FE"/>
    <w:rsid w:val="00B250F3"/>
    <w:rsid w:val="00B3051D"/>
    <w:rsid w:val="00B31E48"/>
    <w:rsid w:val="00B3294D"/>
    <w:rsid w:val="00B53636"/>
    <w:rsid w:val="00B712A6"/>
    <w:rsid w:val="00B812BD"/>
    <w:rsid w:val="00BA4655"/>
    <w:rsid w:val="00BC1FDF"/>
    <w:rsid w:val="00BF2035"/>
    <w:rsid w:val="00C15053"/>
    <w:rsid w:val="00C25FD6"/>
    <w:rsid w:val="00C30076"/>
    <w:rsid w:val="00C3217B"/>
    <w:rsid w:val="00C52083"/>
    <w:rsid w:val="00C52C43"/>
    <w:rsid w:val="00C733F8"/>
    <w:rsid w:val="00C85ABA"/>
    <w:rsid w:val="00C90942"/>
    <w:rsid w:val="00C91F15"/>
    <w:rsid w:val="00CB5D37"/>
    <w:rsid w:val="00CB7D95"/>
    <w:rsid w:val="00CC2B51"/>
    <w:rsid w:val="00CC771F"/>
    <w:rsid w:val="00CD02CC"/>
    <w:rsid w:val="00CD33E4"/>
    <w:rsid w:val="00CD5F8B"/>
    <w:rsid w:val="00CF40F1"/>
    <w:rsid w:val="00D05199"/>
    <w:rsid w:val="00D0733D"/>
    <w:rsid w:val="00D07FFE"/>
    <w:rsid w:val="00D20E35"/>
    <w:rsid w:val="00D21461"/>
    <w:rsid w:val="00D22207"/>
    <w:rsid w:val="00D22309"/>
    <w:rsid w:val="00D4131B"/>
    <w:rsid w:val="00D73F92"/>
    <w:rsid w:val="00DA0460"/>
    <w:rsid w:val="00DA15D4"/>
    <w:rsid w:val="00DA3D58"/>
    <w:rsid w:val="00DA5492"/>
    <w:rsid w:val="00DB0413"/>
    <w:rsid w:val="00DB2F72"/>
    <w:rsid w:val="00DF262A"/>
    <w:rsid w:val="00E0220D"/>
    <w:rsid w:val="00E067EB"/>
    <w:rsid w:val="00E12C82"/>
    <w:rsid w:val="00E139B6"/>
    <w:rsid w:val="00E14C13"/>
    <w:rsid w:val="00E15C73"/>
    <w:rsid w:val="00E407A9"/>
    <w:rsid w:val="00E46163"/>
    <w:rsid w:val="00E46EA6"/>
    <w:rsid w:val="00E60C80"/>
    <w:rsid w:val="00E9047A"/>
    <w:rsid w:val="00E93B26"/>
    <w:rsid w:val="00EA00F4"/>
    <w:rsid w:val="00EC610C"/>
    <w:rsid w:val="00ED331E"/>
    <w:rsid w:val="00EE1B35"/>
    <w:rsid w:val="00EF4CA7"/>
    <w:rsid w:val="00F2715A"/>
    <w:rsid w:val="00F36065"/>
    <w:rsid w:val="00F4222C"/>
    <w:rsid w:val="00F71B73"/>
    <w:rsid w:val="00F81A88"/>
    <w:rsid w:val="00F83875"/>
    <w:rsid w:val="00F83FAA"/>
    <w:rsid w:val="00F93393"/>
    <w:rsid w:val="00F9762E"/>
    <w:rsid w:val="00FC52F8"/>
    <w:rsid w:val="00FD413A"/>
    <w:rsid w:val="00FE412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472337BD"/>
  <w15:docId w15:val="{BE8734DA-943A-4CD1-BE5D-8C45E0B0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iPriority w:val="99"/>
    <w:unhideWhenUsed/>
    <w:rsid w:val="00EC610C"/>
    <w:rPr>
      <w:color w:val="0000FF" w:themeColor="hyperlink"/>
      <w:u w:val="single"/>
    </w:rPr>
  </w:style>
  <w:style w:type="table" w:styleId="Grilledutableau">
    <w:name w:val="Table Grid"/>
    <w:basedOn w:val="TableauNormal"/>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semiHidden/>
    <w:unhideWhenUsed/>
    <w:rsid w:val="0055005B"/>
    <w:rPr>
      <w:rFonts w:eastAsiaTheme="minorHAnsi"/>
      <w:sz w:val="20"/>
      <w:szCs w:val="20"/>
      <w:lang w:val="it-IT" w:eastAsia="en-US"/>
    </w:rPr>
  </w:style>
  <w:style w:type="character" w:customStyle="1" w:styleId="NotedefinCar">
    <w:name w:val="Note de fin Car"/>
    <w:basedOn w:val="Policepardfaut"/>
    <w:link w:val="Notedefin"/>
    <w:semiHidde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iPriority w:val="99"/>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3D06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012420341">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iss.fr/particuliers/partir/etudes/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97695-002D-402A-A0CA-C52173C1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848</Words>
  <Characters>4670</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robisco</dc:creator>
  <cp:lastModifiedBy>Catherine Bailleul</cp:lastModifiedBy>
  <cp:revision>4</cp:revision>
  <cp:lastPrinted>2019-09-03T15:18:00Z</cp:lastPrinted>
  <dcterms:created xsi:type="dcterms:W3CDTF">2022-07-19T16:27:00Z</dcterms:created>
  <dcterms:modified xsi:type="dcterms:W3CDTF">2022-07-19T16:30:00Z</dcterms:modified>
</cp:coreProperties>
</file>