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D4FC4E7" w14:textId="0EC466EE" w:rsidR="00386996" w:rsidRPr="001B0E79" w:rsidRDefault="008D4C93" w:rsidP="00B93158">
      <w:pPr>
        <w:pStyle w:val="Titre1"/>
        <w:spacing w:before="0"/>
        <w:jc w:val="center"/>
        <w:rPr>
          <w:rFonts w:ascii="Calibri" w:hAnsi="Calibri" w:cs="Calibri"/>
          <w:color w:val="002060"/>
          <w:sz w:val="26"/>
          <w:szCs w:val="26"/>
        </w:rPr>
      </w:pPr>
      <w:r w:rsidRPr="001B0E79">
        <w:rPr>
          <w:rFonts w:ascii="Calibri" w:hAnsi="Calibri" w:cs="Calibri"/>
          <w:color w:val="auto"/>
          <w:sz w:val="26"/>
          <w:szCs w:val="26"/>
        </w:rPr>
        <w:t xml:space="preserve">Annexe </w:t>
      </w:r>
      <w:r w:rsidR="00463A78" w:rsidRPr="001B0E79">
        <w:rPr>
          <w:rFonts w:ascii="Calibri" w:hAnsi="Calibri" w:cs="Calibri"/>
          <w:color w:val="auto"/>
          <w:sz w:val="26"/>
          <w:szCs w:val="26"/>
        </w:rPr>
        <w:t xml:space="preserve">II - </w:t>
      </w:r>
      <w:r w:rsidR="003304F9" w:rsidRPr="001B0E79">
        <w:rPr>
          <w:rFonts w:ascii="Calibri" w:eastAsiaTheme="minorEastAsia" w:hAnsi="Calibri" w:cs="Calibri"/>
          <w:bCs w:val="0"/>
          <w:color w:val="A6A6A6" w:themeColor="background1" w:themeShade="A6"/>
          <w:sz w:val="26"/>
          <w:szCs w:val="26"/>
        </w:rPr>
        <w:t xml:space="preserve">GENERAL CONDITIONS </w:t>
      </w:r>
      <w:r w:rsidR="00B93158" w:rsidRPr="001B0E79">
        <w:rPr>
          <w:rFonts w:ascii="Calibri" w:eastAsiaTheme="minorEastAsia" w:hAnsi="Calibri" w:cs="Calibri"/>
          <w:bCs w:val="0"/>
          <w:color w:val="A6A6A6" w:themeColor="background1" w:themeShade="A6"/>
          <w:sz w:val="26"/>
          <w:szCs w:val="26"/>
        </w:rPr>
        <w:t>/</w:t>
      </w:r>
      <w:r w:rsidR="00B93158" w:rsidRPr="001B0E79">
        <w:rPr>
          <w:rFonts w:ascii="Calibri" w:hAnsi="Calibri" w:cs="Calibri"/>
          <w:color w:val="auto"/>
          <w:sz w:val="26"/>
          <w:szCs w:val="26"/>
        </w:rPr>
        <w:t xml:space="preserve"> </w:t>
      </w:r>
      <w:r w:rsidR="003304F9" w:rsidRPr="001B0E79">
        <w:rPr>
          <w:rFonts w:ascii="Calibri" w:hAnsi="Calibri" w:cs="Calibri"/>
          <w:color w:val="002060"/>
          <w:sz w:val="26"/>
          <w:szCs w:val="26"/>
        </w:rPr>
        <w:t>CONDITIONS GENERALES</w:t>
      </w:r>
    </w:p>
    <w:p w14:paraId="7D6BB644" w14:textId="77777777" w:rsidR="00D25853" w:rsidRPr="001B0E79" w:rsidRDefault="00D25853" w:rsidP="00D25853"/>
    <w:p w14:paraId="71306564" w14:textId="289698F2" w:rsidR="00D25853" w:rsidRPr="001B0E79" w:rsidRDefault="00D25853" w:rsidP="00D25853">
      <w:pPr>
        <w:pBdr>
          <w:bottom w:val="single" w:sz="4" w:space="1" w:color="auto"/>
        </w:pBdr>
        <w:rPr>
          <w:rFonts w:ascii="Calibri" w:hAnsi="Calibri" w:cs="Calibri"/>
          <w:b/>
          <w:sz w:val="20"/>
          <w:szCs w:val="20"/>
        </w:rPr>
      </w:pPr>
      <w:r w:rsidRPr="001B0E79">
        <w:rPr>
          <w:rFonts w:ascii="Calibri" w:hAnsi="Calibri" w:cs="Calibri"/>
          <w:b/>
          <w:sz w:val="20"/>
          <w:szCs w:val="20"/>
        </w:rPr>
        <w:t>ARTICLE</w:t>
      </w:r>
      <w:r w:rsidR="00853D58">
        <w:rPr>
          <w:rFonts w:ascii="Calibri" w:hAnsi="Calibri" w:cs="Calibri"/>
          <w:b/>
          <w:sz w:val="20"/>
          <w:szCs w:val="20"/>
        </w:rPr>
        <w:t xml:space="preserve"> </w:t>
      </w:r>
      <w:r w:rsidRPr="001B0E79">
        <w:rPr>
          <w:rFonts w:ascii="Calibri" w:hAnsi="Calibri" w:cs="Calibri"/>
          <w:b/>
          <w:sz w:val="20"/>
          <w:szCs w:val="20"/>
        </w:rPr>
        <w:t xml:space="preserve">1 – </w:t>
      </w:r>
      <w:r w:rsidRPr="001B0E79">
        <w:rPr>
          <w:rFonts w:ascii="Calibri" w:hAnsi="Calibri" w:cs="Calibri"/>
          <w:b/>
          <w:color w:val="A6A6A6" w:themeColor="background1" w:themeShade="A6"/>
          <w:sz w:val="20"/>
          <w:szCs w:val="20"/>
        </w:rPr>
        <w:t>LIABILITY /</w:t>
      </w:r>
      <w:r w:rsidRPr="001B0E79">
        <w:rPr>
          <w:rFonts w:ascii="Calibri" w:hAnsi="Calibri" w:cs="Calibri"/>
          <w:b/>
          <w:sz w:val="20"/>
          <w:szCs w:val="20"/>
        </w:rPr>
        <w:t xml:space="preserve"> </w:t>
      </w:r>
      <w:r w:rsidRPr="001B0E79">
        <w:rPr>
          <w:rFonts w:ascii="Calibri" w:hAnsi="Calibri" w:cs="Calibri"/>
          <w:b/>
          <w:color w:val="002060"/>
          <w:sz w:val="20"/>
          <w:szCs w:val="20"/>
        </w:rPr>
        <w:t>RESPONSABILITÉ</w:t>
      </w:r>
    </w:p>
    <w:p w14:paraId="68AEA86F" w14:textId="11E478C4"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Each party of this agreement shall exonerate the other from any civil liability for damages suffered by </w:t>
      </w:r>
      <w:r w:rsidR="00463A78">
        <w:rPr>
          <w:rFonts w:ascii="Calibri" w:hAnsi="Calibri" w:cs="Calibri"/>
          <w:color w:val="A6A6A6" w:themeColor="background1" w:themeShade="A6"/>
          <w:sz w:val="18"/>
          <w:szCs w:val="18"/>
          <w:lang w:val="en-US"/>
        </w:rPr>
        <w:t>them</w:t>
      </w:r>
      <w:r w:rsidRPr="00CB5D37">
        <w:rPr>
          <w:rFonts w:ascii="Calibri" w:hAnsi="Calibri" w:cs="Calibri"/>
          <w:color w:val="A6A6A6" w:themeColor="background1" w:themeShade="A6"/>
          <w:sz w:val="18"/>
          <w:szCs w:val="18"/>
          <w:lang w:val="en-US"/>
        </w:rPr>
        <w:t xml:space="preserve"> or </w:t>
      </w:r>
      <w:r w:rsidR="00463A78">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staff as a result of performance of this agreement, provided such damages are not the result of serious and deliberate misconduct on the part of the other party or his staff.</w:t>
      </w:r>
    </w:p>
    <w:p w14:paraId="0F8094F3" w14:textId="77777777" w:rsidR="00D25853" w:rsidRPr="0051787E" w:rsidRDefault="00D25853" w:rsidP="00D25853">
      <w:pPr>
        <w:jc w:val="both"/>
        <w:rPr>
          <w:rFonts w:ascii="Calibri" w:hAnsi="Calibri" w:cs="Calibri"/>
          <w:b/>
          <w:bCs/>
          <w:color w:val="002060"/>
          <w:spacing w:val="-4"/>
          <w:sz w:val="18"/>
          <w:szCs w:val="18"/>
        </w:rPr>
      </w:pPr>
      <w:r w:rsidRPr="0051787E">
        <w:rPr>
          <w:rFonts w:ascii="Calibri" w:hAnsi="Calibri" w:cs="Calibri"/>
          <w:bCs/>
          <w:color w:val="002060"/>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52DEF3F6" w14:textId="77777777" w:rsidR="00D25853" w:rsidRPr="008721AE" w:rsidRDefault="00D25853" w:rsidP="00D25853">
      <w:pPr>
        <w:rPr>
          <w:rFonts w:ascii="Calibri" w:hAnsi="Calibri" w:cs="Calibri"/>
          <w:sz w:val="18"/>
          <w:szCs w:val="18"/>
        </w:rPr>
      </w:pPr>
    </w:p>
    <w:p w14:paraId="4E41FB5C"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National Agency of France, the European Commission or their staff shall not be held liable in the event of a claim under the agreement relating to any damage caused during the execution of the mobility period. Consequently, the National Agency of France or the European Commission shall not entertain any request for indemnity of reimbursement accompanying such claim.</w:t>
      </w:r>
    </w:p>
    <w:p w14:paraId="5454CDD7" w14:textId="77777777" w:rsidR="00D25853" w:rsidRPr="0051787E" w:rsidRDefault="00D25853" w:rsidP="00D25853">
      <w:pPr>
        <w:jc w:val="both"/>
        <w:rPr>
          <w:rFonts w:ascii="Calibri" w:hAnsi="Calibri" w:cs="Calibri"/>
          <w:bCs/>
          <w:color w:val="002060"/>
          <w:spacing w:val="-10"/>
          <w:sz w:val="18"/>
          <w:szCs w:val="18"/>
        </w:rPr>
      </w:pPr>
      <w:r w:rsidRPr="0051787E">
        <w:rPr>
          <w:rFonts w:ascii="Calibri" w:hAnsi="Calibri" w:cs="Calibri"/>
          <w:bCs/>
          <w:color w:val="002060"/>
          <w:spacing w:val="-4"/>
          <w:sz w:val="18"/>
          <w:szCs w:val="18"/>
        </w:rPr>
        <w:t>L’Agence nationale française, la Commission européenne ou leurs personnels ne seront pas tenus responsables pour toute action en réparation des dommages survenus aux tiers, y compris le personnel du projet, pendant la réalisation de la période de mobilité. En conséquence, l’Agence nationale française ou la Commission européenne ne seront pas tenues à des indemnités de remboursement concernant cette action.</w:t>
      </w:r>
      <w:r w:rsidRPr="0051787E">
        <w:rPr>
          <w:rFonts w:ascii="Calibri" w:hAnsi="Calibri" w:cs="Calibri"/>
          <w:bCs/>
          <w:color w:val="002060"/>
          <w:spacing w:val="-10"/>
          <w:sz w:val="18"/>
          <w:szCs w:val="18"/>
        </w:rPr>
        <w:t xml:space="preserve"> </w:t>
      </w:r>
    </w:p>
    <w:p w14:paraId="54698DA4" w14:textId="77777777" w:rsidR="00D25853" w:rsidRPr="0051787E" w:rsidRDefault="00D25853" w:rsidP="00D25853">
      <w:pPr>
        <w:rPr>
          <w:rFonts w:ascii="Calibri" w:hAnsi="Calibri" w:cs="Calibri"/>
        </w:rPr>
      </w:pPr>
    </w:p>
    <w:p w14:paraId="706BB2ED" w14:textId="77777777" w:rsidR="00D25853" w:rsidRPr="002E71CC" w:rsidRDefault="00D25853" w:rsidP="00D25853">
      <w:pPr>
        <w:pBdr>
          <w:bottom w:val="single" w:sz="4" w:space="1" w:color="auto"/>
        </w:pBdr>
        <w:rPr>
          <w:rFonts w:ascii="Calibri" w:hAnsi="Calibri" w:cs="Calibri"/>
          <w:b/>
          <w:sz w:val="20"/>
          <w:szCs w:val="20"/>
          <w:lang w:val="en-US"/>
        </w:rPr>
      </w:pPr>
      <w:r w:rsidRPr="0051787E">
        <w:rPr>
          <w:rFonts w:ascii="Calibri" w:hAnsi="Calibri" w:cs="Calibri"/>
          <w:b/>
          <w:sz w:val="20"/>
          <w:szCs w:val="20"/>
          <w:lang w:val="en-US"/>
        </w:rPr>
        <w:t>ARTICLE 2</w:t>
      </w:r>
      <w:r>
        <w:rPr>
          <w:rFonts w:ascii="Calibri" w:hAnsi="Calibri" w:cs="Calibri"/>
          <w:b/>
          <w:sz w:val="20"/>
          <w:szCs w:val="20"/>
          <w:lang w:val="en-US"/>
        </w:rPr>
        <w:t xml:space="preserve"> – </w:t>
      </w:r>
      <w:r w:rsidRPr="00CB5D37">
        <w:rPr>
          <w:rFonts w:ascii="Calibri" w:hAnsi="Calibri" w:cs="Calibri"/>
          <w:b/>
          <w:color w:val="A6A6A6" w:themeColor="background1" w:themeShade="A6"/>
          <w:sz w:val="20"/>
          <w:szCs w:val="20"/>
          <w:lang w:val="en-US"/>
        </w:rPr>
        <w:t xml:space="preserve">TERMINATION OF THE AGREEMENT / </w:t>
      </w:r>
      <w:r w:rsidRPr="0051787E">
        <w:rPr>
          <w:rFonts w:ascii="Calibri" w:hAnsi="Calibri" w:cs="Calibri"/>
          <w:b/>
          <w:color w:val="002060"/>
          <w:sz w:val="20"/>
          <w:szCs w:val="20"/>
          <w:lang w:val="en-US"/>
        </w:rPr>
        <w:t>RESILIATION DU CONTRAT</w:t>
      </w:r>
    </w:p>
    <w:p w14:paraId="6EBC32F1" w14:textId="77777777" w:rsidR="00D25853" w:rsidRPr="00CB5D37" w:rsidRDefault="00D25853" w:rsidP="00D25853">
      <w:pPr>
        <w:spacing w:before="120"/>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27B9007E" w14:textId="085D2FD4" w:rsidR="00FC0103" w:rsidRPr="0051787E" w:rsidRDefault="00D25853" w:rsidP="00FC0103">
      <w:pPr>
        <w:jc w:val="both"/>
        <w:rPr>
          <w:rFonts w:ascii="Calibri" w:hAnsi="Calibri" w:cs="Calibri"/>
          <w:color w:val="002060"/>
          <w:sz w:val="18"/>
          <w:szCs w:val="18"/>
        </w:rPr>
      </w:pPr>
      <w:r w:rsidRPr="0051787E">
        <w:rPr>
          <w:rFonts w:ascii="Calibri" w:hAnsi="Calibri" w:cs="Calibri"/>
          <w:color w:val="002060"/>
          <w:sz w:val="18"/>
          <w:szCs w:val="18"/>
        </w:rPr>
        <w:t xml:space="preserve">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w:t>
      </w:r>
      <w:r w:rsidR="00463A78">
        <w:rPr>
          <w:rFonts w:ascii="Calibri" w:hAnsi="Calibri" w:cs="Calibri"/>
          <w:color w:val="002060"/>
          <w:sz w:val="18"/>
          <w:szCs w:val="18"/>
        </w:rPr>
        <w:t>juridique</w:t>
      </w:r>
      <w:r w:rsidRPr="0051787E">
        <w:rPr>
          <w:rFonts w:ascii="Calibri" w:hAnsi="Calibri" w:cs="Calibri"/>
          <w:color w:val="002060"/>
          <w:sz w:val="18"/>
          <w:szCs w:val="18"/>
        </w:rPr>
        <w:t xml:space="preserve">, </w:t>
      </w:r>
      <w:r w:rsidR="00FC0103">
        <w:rPr>
          <w:rFonts w:ascii="Calibri" w:hAnsi="Calibri" w:cs="Calibri"/>
          <w:color w:val="002060"/>
          <w:sz w:val="18"/>
          <w:szCs w:val="18"/>
        </w:rPr>
        <w:t>dès lors qu’</w:t>
      </w:r>
      <w:r w:rsidR="00FC0103" w:rsidRPr="0051787E">
        <w:rPr>
          <w:rFonts w:ascii="Calibri" w:hAnsi="Calibri" w:cs="Calibri"/>
          <w:color w:val="002060"/>
          <w:sz w:val="18"/>
          <w:szCs w:val="18"/>
        </w:rPr>
        <w:t xml:space="preserve">une mise en demeure par lettre recommandée </w:t>
      </w:r>
      <w:r w:rsidR="00FC0103">
        <w:rPr>
          <w:rFonts w:ascii="Calibri" w:hAnsi="Calibri" w:cs="Calibri"/>
          <w:color w:val="002060"/>
          <w:sz w:val="18"/>
          <w:szCs w:val="18"/>
        </w:rPr>
        <w:t>a été notifiée aux parties et que cela n’a pas été suivi</w:t>
      </w:r>
      <w:r w:rsidR="00FC0103" w:rsidRPr="0051787E">
        <w:rPr>
          <w:rFonts w:ascii="Calibri" w:hAnsi="Calibri" w:cs="Calibri"/>
          <w:color w:val="002060"/>
          <w:sz w:val="18"/>
          <w:szCs w:val="18"/>
        </w:rPr>
        <w:t xml:space="preserve"> d’exécution dans un délai d’un mois.</w:t>
      </w:r>
    </w:p>
    <w:p w14:paraId="44FB49B4" w14:textId="1B617A82" w:rsidR="00D25853" w:rsidRPr="0051787E" w:rsidRDefault="00D25853" w:rsidP="00D25853">
      <w:pPr>
        <w:jc w:val="both"/>
        <w:rPr>
          <w:rFonts w:ascii="Calibri" w:hAnsi="Calibri" w:cs="Calibri"/>
          <w:color w:val="002060"/>
          <w:sz w:val="18"/>
          <w:szCs w:val="18"/>
        </w:rPr>
      </w:pPr>
    </w:p>
    <w:p w14:paraId="7747457F" w14:textId="5B17455B" w:rsidR="00D25853" w:rsidRPr="00CB5D37" w:rsidRDefault="00D25853" w:rsidP="00FC010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If the participant terminates the agreement before its agreement ends or if </w:t>
      </w:r>
      <w:r w:rsidR="009E1298">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fail to follow the agreement in accordance with the rules, </w:t>
      </w:r>
      <w:r w:rsidR="002834AB">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shall have to refund the amount of the grant already paid, except if agreed differently with the </w:t>
      </w:r>
      <w:r w:rsidR="009E1298">
        <w:rPr>
          <w:rFonts w:ascii="Calibri" w:hAnsi="Calibri" w:cs="Calibri"/>
          <w:color w:val="A6A6A6" w:themeColor="background1" w:themeShade="A6"/>
          <w:sz w:val="18"/>
          <w:szCs w:val="18"/>
          <w:lang w:val="en-US"/>
        </w:rPr>
        <w:t xml:space="preserve">sending </w:t>
      </w:r>
      <w:proofErr w:type="spellStart"/>
      <w:r w:rsidR="009E1298">
        <w:rPr>
          <w:rFonts w:ascii="Calibri" w:hAnsi="Calibri" w:cs="Calibri"/>
          <w:color w:val="A6A6A6" w:themeColor="background1" w:themeShade="A6"/>
          <w:sz w:val="18"/>
          <w:szCs w:val="18"/>
          <w:lang w:val="en-US"/>
        </w:rPr>
        <w:t>organisation</w:t>
      </w:r>
      <w:proofErr w:type="spellEnd"/>
      <w:r w:rsidRPr="00CB5D37">
        <w:rPr>
          <w:rFonts w:ascii="Calibri" w:hAnsi="Calibri" w:cs="Calibri"/>
          <w:color w:val="A6A6A6" w:themeColor="background1" w:themeShade="A6"/>
          <w:sz w:val="18"/>
          <w:szCs w:val="18"/>
          <w:lang w:val="en-US"/>
        </w:rPr>
        <w:t xml:space="preserve">. </w:t>
      </w:r>
    </w:p>
    <w:p w14:paraId="04420171" w14:textId="3EACFF4E"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Si le participant met fin au contrat avant la fin de sa période contractuelle, ou s’il manque à ses obligations, il devra rembourser le montant de la bourse déjà reçu, sauf décision contraire de l’établissement d’envoi.</w:t>
      </w:r>
    </w:p>
    <w:p w14:paraId="733DF988" w14:textId="5FF36F9B" w:rsidR="00D25853" w:rsidRPr="00CB5D37" w:rsidRDefault="00D25853" w:rsidP="00D25853">
      <w:pPr>
        <w:spacing w:before="120"/>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In case of termination by the participant due to "force majeure", </w:t>
      </w:r>
      <w:proofErr w:type="gramStart"/>
      <w:r w:rsidRPr="00CB5D37">
        <w:rPr>
          <w:rFonts w:ascii="Calibri" w:hAnsi="Calibri" w:cs="Calibri"/>
          <w:color w:val="A6A6A6" w:themeColor="background1" w:themeShade="A6"/>
          <w:sz w:val="18"/>
          <w:szCs w:val="18"/>
          <w:lang w:val="en-US"/>
        </w:rPr>
        <w:t>i.e.</w:t>
      </w:r>
      <w:proofErr w:type="gramEnd"/>
      <w:r w:rsidRPr="00CB5D37">
        <w:rPr>
          <w:rFonts w:ascii="Calibri" w:hAnsi="Calibri" w:cs="Calibri"/>
          <w:color w:val="A6A6A6" w:themeColor="background1" w:themeShade="A6"/>
          <w:sz w:val="18"/>
          <w:szCs w:val="18"/>
          <w:lang w:val="en-US"/>
        </w:rPr>
        <w:t xml:space="preserve"> an unforeseeable exceptional situation or event beyond the participant's control and not attributable to error or negligence on </w:t>
      </w:r>
      <w:r w:rsidR="007C54AE">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part, the participant shall be entitled to receive at least the amount of the grant corresponding to the actual duration of the mobility period. Any remaining funds shall have to be refunded, except if agreed differently with the sending </w:t>
      </w:r>
      <w:proofErr w:type="spellStart"/>
      <w:r w:rsidRPr="00CB5D37">
        <w:rPr>
          <w:rFonts w:ascii="Calibri" w:hAnsi="Calibri" w:cs="Calibri"/>
          <w:color w:val="A6A6A6" w:themeColor="background1" w:themeShade="A6"/>
          <w:sz w:val="18"/>
          <w:szCs w:val="18"/>
          <w:lang w:val="en-US"/>
        </w:rPr>
        <w:t>organisation</w:t>
      </w:r>
      <w:proofErr w:type="spellEnd"/>
      <w:r w:rsidRPr="00CB5D37">
        <w:rPr>
          <w:rFonts w:ascii="Calibri" w:hAnsi="Calibri" w:cs="Calibri"/>
          <w:color w:val="A6A6A6" w:themeColor="background1" w:themeShade="A6"/>
          <w:sz w:val="18"/>
          <w:szCs w:val="18"/>
          <w:lang w:val="en-US"/>
        </w:rPr>
        <w:t>.</w:t>
      </w:r>
    </w:p>
    <w:p w14:paraId="2B9ABA10" w14:textId="7DCD3DD3"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 xml:space="preserve">Si la résiliation est due à un cas de force majeure, </w:t>
      </w:r>
      <w:r w:rsidR="007C54AE">
        <w:rPr>
          <w:rFonts w:ascii="Calibri" w:hAnsi="Calibri" w:cs="Calibri"/>
          <w:color w:val="002060"/>
          <w:sz w:val="18"/>
          <w:szCs w:val="18"/>
        </w:rPr>
        <w:t>c’est à dire</w:t>
      </w:r>
      <w:r w:rsidRPr="0051787E">
        <w:rPr>
          <w:rFonts w:ascii="Calibri" w:hAnsi="Calibri" w:cs="Calibri"/>
          <w:color w:val="002060"/>
          <w:sz w:val="18"/>
          <w:szCs w:val="18"/>
        </w:rPr>
        <w:t xml:space="preserv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 sauf décision contraire de l’établissement d’envoi.</w:t>
      </w:r>
    </w:p>
    <w:p w14:paraId="69E0C1C4" w14:textId="0FC9B8F8" w:rsidR="001E00FF" w:rsidRDefault="001E00FF">
      <w:pPr>
        <w:rPr>
          <w:rFonts w:ascii="Calibri" w:hAnsi="Calibri" w:cs="Calibri"/>
          <w:bCs/>
          <w:spacing w:val="-4"/>
          <w:sz w:val="22"/>
          <w:szCs w:val="22"/>
        </w:rPr>
      </w:pPr>
      <w:r>
        <w:rPr>
          <w:rFonts w:ascii="Calibri" w:hAnsi="Calibri" w:cs="Calibri"/>
          <w:bCs/>
          <w:spacing w:val="-4"/>
          <w:sz w:val="22"/>
          <w:szCs w:val="22"/>
        </w:rPr>
        <w:br w:type="page"/>
      </w:r>
    </w:p>
    <w:p w14:paraId="48C9C2D5" w14:textId="77777777" w:rsidR="00D25853" w:rsidRPr="0051787E" w:rsidRDefault="00D25853" w:rsidP="00D25853">
      <w:pPr>
        <w:jc w:val="both"/>
        <w:rPr>
          <w:rFonts w:ascii="Calibri" w:hAnsi="Calibri" w:cs="Calibri"/>
          <w:bCs/>
          <w:spacing w:val="-4"/>
          <w:sz w:val="22"/>
          <w:szCs w:val="22"/>
        </w:rPr>
      </w:pPr>
    </w:p>
    <w:p w14:paraId="6E7660C1" w14:textId="77777777" w:rsidR="00D25853" w:rsidRPr="002E71CC" w:rsidRDefault="00D25853" w:rsidP="00D25853">
      <w:pPr>
        <w:pBdr>
          <w:bottom w:val="single" w:sz="4" w:space="1" w:color="auto"/>
        </w:pBdr>
        <w:jc w:val="both"/>
        <w:rPr>
          <w:rFonts w:ascii="Calibri" w:hAnsi="Calibri" w:cs="Calibri"/>
          <w:b/>
          <w:bCs/>
          <w:spacing w:val="-4"/>
          <w:sz w:val="20"/>
          <w:szCs w:val="20"/>
        </w:rPr>
      </w:pPr>
      <w:r>
        <w:rPr>
          <w:rFonts w:ascii="Calibri" w:hAnsi="Calibri" w:cs="Calibri"/>
          <w:b/>
          <w:bCs/>
          <w:spacing w:val="-4"/>
          <w:sz w:val="20"/>
          <w:szCs w:val="20"/>
        </w:rPr>
        <w:t xml:space="preserve">ARTICLE 3 – </w:t>
      </w:r>
      <w:r w:rsidRPr="00CB5D37">
        <w:rPr>
          <w:rFonts w:ascii="Calibri" w:hAnsi="Calibri" w:cs="Calibri"/>
          <w:b/>
          <w:bCs/>
          <w:color w:val="A6A6A6" w:themeColor="background1" w:themeShade="A6"/>
          <w:spacing w:val="-4"/>
          <w:sz w:val="20"/>
          <w:szCs w:val="20"/>
        </w:rPr>
        <w:t xml:space="preserve">DATA PROTECTION / </w:t>
      </w:r>
      <w:r w:rsidRPr="0051787E">
        <w:rPr>
          <w:rFonts w:ascii="Calibri" w:hAnsi="Calibri" w:cs="Calibri"/>
          <w:b/>
          <w:bCs/>
          <w:color w:val="002060"/>
          <w:spacing w:val="-4"/>
          <w:sz w:val="20"/>
          <w:szCs w:val="20"/>
        </w:rPr>
        <w:t>PROTECTION DES DONNEES</w:t>
      </w:r>
    </w:p>
    <w:p w14:paraId="23A0D811" w14:textId="77777777" w:rsidR="001E00FF" w:rsidRPr="001E00FF" w:rsidRDefault="001E00FF" w:rsidP="001E00FF">
      <w:pPr>
        <w:rPr>
          <w:rFonts w:asciiTheme="majorHAnsi" w:hAnsiTheme="majorHAnsi" w:cstheme="majorHAnsi"/>
          <w:sz w:val="18"/>
          <w:szCs w:val="18"/>
          <w:lang w:val="en-GB"/>
        </w:rPr>
      </w:pPr>
      <w:r w:rsidRPr="001E00FF">
        <w:rPr>
          <w:rFonts w:asciiTheme="majorHAnsi" w:hAnsiTheme="majorHAnsi" w:cstheme="majorHAnsi"/>
          <w:color w:val="A6A6A6" w:themeColor="background1" w:themeShade="A6"/>
          <w:sz w:val="18"/>
          <w:szCs w:val="18"/>
          <w:lang w:val="en-GB"/>
        </w:rPr>
        <w:t xml:space="preserve">All personal data contained in the agreement shall be processed in accordance with Regulation (EC) No 2018/1725 of the European Parliament and of the Council on the protection of individuals </w:t>
      </w:r>
      <w:proofErr w:type="gramStart"/>
      <w:r w:rsidRPr="001E00FF">
        <w:rPr>
          <w:rFonts w:asciiTheme="majorHAnsi" w:hAnsiTheme="majorHAnsi" w:cstheme="majorHAnsi"/>
          <w:color w:val="A6A6A6" w:themeColor="background1" w:themeShade="A6"/>
          <w:sz w:val="18"/>
          <w:szCs w:val="18"/>
          <w:lang w:val="en-GB"/>
        </w:rPr>
        <w:t>with regard to</w:t>
      </w:r>
      <w:proofErr w:type="gramEnd"/>
      <w:r w:rsidRPr="001E00FF">
        <w:rPr>
          <w:rFonts w:asciiTheme="majorHAnsi" w:hAnsiTheme="majorHAnsi" w:cstheme="majorHAnsi"/>
          <w:color w:val="A6A6A6" w:themeColor="background1" w:themeShade="A6"/>
          <w:sz w:val="18"/>
          <w:szCs w:val="18"/>
          <w:lang w:val="en-GB"/>
        </w:rPr>
        <w:t xml:space="preserve"> the processing of personal data by the EU institutions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w:t>
      </w:r>
      <w:bookmarkStart w:id="0" w:name="_Hlk82073018"/>
      <w:r w:rsidRPr="001E00FF">
        <w:rPr>
          <w:rStyle w:val="Appelnotedebasdep"/>
          <w:rFonts w:asciiTheme="majorHAnsi" w:hAnsiTheme="majorHAnsi" w:cstheme="majorHAnsi"/>
          <w:color w:val="A6A6A6" w:themeColor="background1" w:themeShade="A6"/>
          <w:sz w:val="18"/>
          <w:szCs w:val="18"/>
          <w:lang w:val="en-GB"/>
        </w:rPr>
        <w:footnoteReference w:id="1"/>
      </w:r>
      <w:r w:rsidRPr="001E00FF">
        <w:rPr>
          <w:rFonts w:asciiTheme="majorHAnsi" w:hAnsiTheme="majorHAnsi" w:cstheme="majorHAnsi"/>
          <w:color w:val="A6A6A6" w:themeColor="background1" w:themeShade="A6"/>
          <w:sz w:val="18"/>
          <w:szCs w:val="18"/>
          <w:lang w:val="en-GB"/>
        </w:rPr>
        <w:t xml:space="preserve"> </w:t>
      </w:r>
      <w:bookmarkEnd w:id="0"/>
      <w:r w:rsidRPr="001E00FF">
        <w:rPr>
          <w:rFonts w:asciiTheme="majorHAnsi" w:hAnsiTheme="majorHAnsi" w:cstheme="majorHAnsi"/>
          <w:color w:val="A6A6A6" w:themeColor="background1" w:themeShade="A6"/>
          <w:sz w:val="18"/>
          <w:szCs w:val="18"/>
          <w:lang w:val="en-GB"/>
        </w:rPr>
        <w:t>(Court of Auditors or European Antifraud Office (OLAF)).</w:t>
      </w:r>
    </w:p>
    <w:p w14:paraId="70CE60F3" w14:textId="49867B5D"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 xml:space="preserve">Le traitement de toute information personnelle présente au contrat devra être effectué conformément au règlement n° </w:t>
      </w:r>
      <w:r w:rsidR="00CC672B">
        <w:rPr>
          <w:rFonts w:ascii="Calibri" w:hAnsi="Calibri" w:cs="Calibri"/>
          <w:bCs/>
          <w:color w:val="002060"/>
          <w:spacing w:val="-4"/>
          <w:sz w:val="18"/>
          <w:szCs w:val="18"/>
        </w:rPr>
        <w:t>2018/1725</w:t>
      </w:r>
      <w:r w:rsidR="000F0434">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w:t>
      </w:r>
      <w:r w:rsidR="001E00FF" w:rsidRPr="001E00FF">
        <w:rPr>
          <w:rStyle w:val="Appelnotedebasdep"/>
          <w:rFonts w:asciiTheme="majorHAnsi" w:hAnsiTheme="majorHAnsi" w:cstheme="majorHAnsi"/>
          <w:color w:val="A6A6A6" w:themeColor="background1" w:themeShade="A6"/>
          <w:sz w:val="18"/>
          <w:szCs w:val="18"/>
          <w:lang w:val="en-GB"/>
        </w:rPr>
        <w:footnoteReference w:id="2"/>
      </w:r>
      <w:r w:rsidR="001E00FF">
        <w:rPr>
          <w:rFonts w:ascii="Calibri" w:hAnsi="Calibri" w:cs="Calibri"/>
          <w:bCs/>
          <w:color w:val="002060"/>
          <w:spacing w:val="-4"/>
          <w:sz w:val="18"/>
          <w:szCs w:val="18"/>
        </w:rPr>
        <w:t xml:space="preserve"> </w:t>
      </w:r>
      <w:r w:rsidR="001E00FF" w:rsidRPr="0051787E">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(Office européen de Lutte Anti-fraude).</w:t>
      </w:r>
    </w:p>
    <w:p w14:paraId="386A2EAF" w14:textId="77777777" w:rsidR="00D25853" w:rsidRPr="001C4525" w:rsidRDefault="00D25853" w:rsidP="00D25853">
      <w:pPr>
        <w:jc w:val="both"/>
        <w:rPr>
          <w:rFonts w:ascii="Calibri" w:hAnsi="Calibri" w:cs="Calibri"/>
          <w:sz w:val="18"/>
          <w:szCs w:val="18"/>
        </w:rPr>
      </w:pPr>
    </w:p>
    <w:p w14:paraId="5C8DB255" w14:textId="06F9686D" w:rsidR="00D25853" w:rsidRPr="00CB5D37" w:rsidRDefault="00D25853" w:rsidP="00D25853">
      <w:pPr>
        <w:jc w:val="both"/>
        <w:rPr>
          <w:rFonts w:ascii="Calibri" w:hAnsi="Calibri" w:cs="Calibri"/>
          <w:color w:val="A6A6A6" w:themeColor="background1" w:themeShade="A6"/>
          <w:sz w:val="18"/>
          <w:szCs w:val="18"/>
          <w:lang w:val="en-GB"/>
        </w:rPr>
      </w:pPr>
      <w:r w:rsidRPr="00CB5D37">
        <w:rPr>
          <w:rFonts w:ascii="Calibri" w:hAnsi="Calibri" w:cs="Calibri"/>
          <w:color w:val="A6A6A6" w:themeColor="background1" w:themeShade="A6"/>
          <w:sz w:val="18"/>
          <w:szCs w:val="18"/>
          <w:lang w:val="en-GB"/>
        </w:rPr>
        <w:t xml:space="preserve">The participant may, on written request, gain access to his personal data and correct any information that is inaccurate or incomplete. </w:t>
      </w:r>
      <w:r w:rsidR="002834AB">
        <w:rPr>
          <w:rFonts w:ascii="Calibri" w:hAnsi="Calibri" w:cs="Calibri"/>
          <w:color w:val="A6A6A6" w:themeColor="background1" w:themeShade="A6"/>
          <w:sz w:val="18"/>
          <w:szCs w:val="18"/>
          <w:lang w:val="en-GB"/>
        </w:rPr>
        <w:t>They</w:t>
      </w:r>
      <w:r w:rsidRPr="00CB5D37">
        <w:rPr>
          <w:rFonts w:ascii="Calibri" w:hAnsi="Calibri" w:cs="Calibri"/>
          <w:color w:val="A6A6A6" w:themeColor="background1" w:themeShade="A6"/>
          <w:sz w:val="18"/>
          <w:szCs w:val="18"/>
          <w:lang w:val="en-GB"/>
        </w:rPr>
        <w:t xml:space="preserve"> should address any questions regarding the processing of </w:t>
      </w:r>
      <w:r w:rsidR="002834AB">
        <w:rPr>
          <w:rFonts w:ascii="Calibri" w:hAnsi="Calibri" w:cs="Calibri"/>
          <w:color w:val="A6A6A6" w:themeColor="background1" w:themeShade="A6"/>
          <w:sz w:val="18"/>
          <w:szCs w:val="18"/>
          <w:lang w:val="en-GB"/>
        </w:rPr>
        <w:t>their</w:t>
      </w:r>
      <w:r w:rsidRPr="00CB5D37">
        <w:rPr>
          <w:rFonts w:ascii="Calibri" w:hAnsi="Calibri" w:cs="Calibri"/>
          <w:color w:val="A6A6A6" w:themeColor="background1" w:themeShade="A6"/>
          <w:sz w:val="18"/>
          <w:szCs w:val="18"/>
          <w:lang w:val="en-GB"/>
        </w:rPr>
        <w:t xml:space="preserve"> personal data to the sending institution and/or the National Agency. The participant may lodge a complaint against the processing of his personal data to the European Data Protection Supervisor </w:t>
      </w:r>
      <w:proofErr w:type="gramStart"/>
      <w:r w:rsidRPr="00CB5D37">
        <w:rPr>
          <w:rFonts w:ascii="Calibri" w:hAnsi="Calibri" w:cs="Calibri"/>
          <w:color w:val="A6A6A6" w:themeColor="background1" w:themeShade="A6"/>
          <w:sz w:val="18"/>
          <w:szCs w:val="18"/>
          <w:lang w:val="en-GB"/>
        </w:rPr>
        <w:t>with regard to</w:t>
      </w:r>
      <w:proofErr w:type="gramEnd"/>
      <w:r w:rsidRPr="00CB5D37">
        <w:rPr>
          <w:rFonts w:ascii="Calibri" w:hAnsi="Calibri" w:cs="Calibri"/>
          <w:color w:val="A6A6A6" w:themeColor="background1" w:themeShade="A6"/>
          <w:sz w:val="18"/>
          <w:szCs w:val="18"/>
          <w:lang w:val="en-GB"/>
        </w:rPr>
        <w:t xml:space="preserve"> the use of the data by the European Commission.</w:t>
      </w:r>
    </w:p>
    <w:p w14:paraId="42FF6103" w14:textId="66D462B3"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Le participant peut, sur demande éc</w:t>
      </w:r>
      <w:r w:rsidR="00A7179C">
        <w:rPr>
          <w:rFonts w:ascii="Calibri" w:hAnsi="Calibri" w:cs="Calibri"/>
          <w:bCs/>
          <w:color w:val="002060"/>
          <w:spacing w:val="-4"/>
          <w:sz w:val="18"/>
          <w:szCs w:val="18"/>
        </w:rPr>
        <w:t xml:space="preserve">rite, avoir le droit d’accéder </w:t>
      </w:r>
      <w:r w:rsidRPr="0051787E">
        <w:rPr>
          <w:rFonts w:ascii="Calibri" w:hAnsi="Calibri" w:cs="Calibri"/>
          <w:bCs/>
          <w:color w:val="002060"/>
          <w:spacing w:val="-4"/>
          <w:sz w:val="18"/>
          <w:szCs w:val="18"/>
        </w:rPr>
        <w:t>à ses données personnelles pou</w:t>
      </w:r>
      <w:r>
        <w:rPr>
          <w:rFonts w:ascii="Calibri" w:hAnsi="Calibri" w:cs="Calibri"/>
          <w:bCs/>
          <w:color w:val="002060"/>
          <w:spacing w:val="-4"/>
          <w:sz w:val="18"/>
          <w:szCs w:val="18"/>
        </w:rPr>
        <w:t xml:space="preserve">r les modifier en cas d’erreur </w:t>
      </w:r>
      <w:r w:rsidRPr="0051787E">
        <w:rPr>
          <w:rFonts w:ascii="Calibri" w:hAnsi="Calibri" w:cs="Calibri"/>
          <w:bCs/>
          <w:color w:val="002060"/>
          <w:spacing w:val="-4"/>
          <w:sz w:val="18"/>
          <w:szCs w:val="18"/>
        </w:rPr>
        <w:t>et pour les compléter. Il/elle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5A398CC6" w14:textId="77777777" w:rsidR="00D25853" w:rsidRPr="0051787E" w:rsidRDefault="00D25853" w:rsidP="00D25853">
      <w:pPr>
        <w:spacing w:before="120"/>
        <w:jc w:val="both"/>
        <w:rPr>
          <w:rFonts w:ascii="Calibri" w:hAnsi="Calibri" w:cs="Calibri"/>
          <w:bCs/>
          <w:color w:val="002060"/>
          <w:spacing w:val="-4"/>
          <w:sz w:val="20"/>
          <w:szCs w:val="20"/>
        </w:rPr>
      </w:pPr>
    </w:p>
    <w:p w14:paraId="6CDA7C37" w14:textId="77777777" w:rsidR="00D25853" w:rsidRPr="002E71CC" w:rsidRDefault="00D25853" w:rsidP="00D25853">
      <w:pPr>
        <w:pBdr>
          <w:bottom w:val="single" w:sz="4" w:space="1" w:color="auto"/>
        </w:pBdr>
        <w:jc w:val="both"/>
        <w:rPr>
          <w:rFonts w:ascii="Calibri" w:hAnsi="Calibri" w:cs="Calibri"/>
          <w:b/>
          <w:bCs/>
          <w:spacing w:val="-4"/>
          <w:sz w:val="20"/>
          <w:szCs w:val="20"/>
          <w:lang w:val="en-US"/>
        </w:rPr>
      </w:pPr>
      <w:r>
        <w:rPr>
          <w:rFonts w:ascii="Calibri" w:hAnsi="Calibri" w:cs="Calibri"/>
          <w:b/>
          <w:bCs/>
          <w:spacing w:val="-4"/>
          <w:sz w:val="20"/>
          <w:szCs w:val="20"/>
          <w:lang w:val="en-US"/>
        </w:rPr>
        <w:t xml:space="preserve">ARTICLE 4 – </w:t>
      </w:r>
      <w:r w:rsidRPr="00CB5D37">
        <w:rPr>
          <w:rFonts w:ascii="Calibri" w:hAnsi="Calibri" w:cs="Calibri"/>
          <w:b/>
          <w:bCs/>
          <w:color w:val="A6A6A6" w:themeColor="background1" w:themeShade="A6"/>
          <w:spacing w:val="-4"/>
          <w:sz w:val="20"/>
          <w:szCs w:val="20"/>
          <w:lang w:val="en-US"/>
        </w:rPr>
        <w:t xml:space="preserve">CHECKS AND AUDITS / </w:t>
      </w:r>
      <w:r w:rsidRPr="0051787E">
        <w:rPr>
          <w:rFonts w:ascii="Calibri" w:hAnsi="Calibri" w:cs="Calibri"/>
          <w:b/>
          <w:bCs/>
          <w:color w:val="002060"/>
          <w:spacing w:val="-4"/>
          <w:sz w:val="20"/>
          <w:szCs w:val="20"/>
          <w:lang w:val="en-US"/>
        </w:rPr>
        <w:t>VERIFICATION ET AUDITS</w:t>
      </w:r>
    </w:p>
    <w:p w14:paraId="14DC4697"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The parties of the agreement undertake to provide any detailed information requested by the European Commission, the National Agency of France or by any other outside body </w:t>
      </w:r>
      <w:proofErr w:type="spellStart"/>
      <w:r w:rsidRPr="00CB5D37">
        <w:rPr>
          <w:rFonts w:ascii="Calibri" w:hAnsi="Calibri" w:cs="Calibri"/>
          <w:color w:val="A6A6A6" w:themeColor="background1" w:themeShade="A6"/>
          <w:sz w:val="18"/>
          <w:szCs w:val="18"/>
          <w:lang w:val="en-US"/>
        </w:rPr>
        <w:t>authorised</w:t>
      </w:r>
      <w:proofErr w:type="spellEnd"/>
      <w:r w:rsidRPr="00CB5D37">
        <w:rPr>
          <w:rFonts w:ascii="Calibri" w:hAnsi="Calibri" w:cs="Calibri"/>
          <w:color w:val="A6A6A6" w:themeColor="background1" w:themeShade="A6"/>
          <w:sz w:val="18"/>
          <w:szCs w:val="18"/>
          <w:lang w:val="en-US"/>
        </w:rPr>
        <w:t xml:space="preserve"> by the European Commission or the National Agency of France to check that the mobility period and the provisions of the agreement are being properly implemented.</w:t>
      </w:r>
    </w:p>
    <w:p w14:paraId="1D3DB122" w14:textId="14133B26" w:rsidR="008E6D8A" w:rsidRPr="008E6D8A" w:rsidRDefault="00D25853" w:rsidP="008E6D8A">
      <w:pPr>
        <w:jc w:val="both"/>
        <w:rPr>
          <w:rFonts w:ascii="Calibri" w:eastAsia="Calibri" w:hAnsi="Calibri" w:cs="Calibri"/>
          <w:sz w:val="22"/>
          <w:szCs w:val="22"/>
          <w:lang w:eastAsia="en-US"/>
        </w:rPr>
      </w:pPr>
      <w:r w:rsidRPr="0051787E">
        <w:rPr>
          <w:rFonts w:ascii="Calibri" w:hAnsi="Calibri" w:cs="Calibri"/>
          <w:color w:val="002060"/>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p>
    <w:sectPr w:rsidR="008E6D8A" w:rsidRPr="008E6D8A" w:rsidSect="008E6D8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BB38" w14:textId="77777777" w:rsidR="00B201B5" w:rsidRDefault="00B201B5" w:rsidP="00EC610C">
      <w:r>
        <w:separator/>
      </w:r>
    </w:p>
  </w:endnote>
  <w:endnote w:type="continuationSeparator" w:id="0">
    <w:p w14:paraId="291BB00F" w14:textId="77777777" w:rsidR="00B201B5" w:rsidRDefault="00B201B5"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3A2894D6" w:rsidR="00B201B5" w:rsidRPr="00D1069A" w:rsidRDefault="008E6D8A" w:rsidP="00C32DA3">
            <w:pPr>
              <w:rPr>
                <w:rFonts w:ascii="Calibri" w:hAnsi="Calibri"/>
                <w:color w:val="000000" w:themeColor="text1"/>
                <w:sz w:val="16"/>
                <w:szCs w:val="16"/>
              </w:rPr>
            </w:pPr>
            <w:sdt>
              <w:sdtPr>
                <w:rPr>
                  <w:rFonts w:ascii="Calibri" w:hAnsi="Calibri" w:cs="Calibri"/>
                  <w:color w:val="000000" w:themeColor="text1"/>
                  <w:sz w:val="16"/>
                  <w:szCs w:val="16"/>
                </w:rPr>
                <w:id w:val="1943878499"/>
                <w:docPartObj>
                  <w:docPartGallery w:val="Page Numbers (Bottom of Page)"/>
                  <w:docPartUnique/>
                </w:docPartObj>
              </w:sdtPr>
              <w:sdtEndPr/>
              <w:sdtContent>
                <w:r w:rsidR="00B201B5" w:rsidRPr="00D1069A">
                  <w:rPr>
                    <w:rFonts w:ascii="Calibri" w:hAnsi="Calibri" w:cs="Calibri"/>
                    <w:color w:val="000000" w:themeColor="text1"/>
                    <w:sz w:val="16"/>
                    <w:szCs w:val="16"/>
                  </w:rPr>
                  <w:t>AC131 - Kit mobilité d</w:t>
                </w:r>
                <w:r w:rsidR="00B201B5">
                  <w:rPr>
                    <w:rFonts w:ascii="Calibri" w:hAnsi="Calibri" w:cs="Calibri"/>
                    <w:color w:val="000000" w:themeColor="text1"/>
                    <w:sz w:val="16"/>
                    <w:szCs w:val="16"/>
                  </w:rPr>
                  <w:t>’études</w:t>
                </w:r>
                <w:r w:rsidR="00B201B5" w:rsidRPr="00D1069A">
                  <w:rPr>
                    <w:rFonts w:ascii="Calibri" w:hAnsi="Calibri" w:cs="Calibri"/>
                    <w:color w:val="000000" w:themeColor="text1"/>
                    <w:sz w:val="16"/>
                    <w:szCs w:val="16"/>
                  </w:rPr>
                  <w:t xml:space="preserve"> (SM</w:t>
                </w:r>
                <w:r w:rsidR="00B201B5">
                  <w:rPr>
                    <w:rFonts w:ascii="Calibri" w:hAnsi="Calibri" w:cs="Calibri"/>
                    <w:color w:val="000000" w:themeColor="text1"/>
                    <w:sz w:val="16"/>
                    <w:szCs w:val="16"/>
                  </w:rPr>
                  <w:t>S</w:t>
                </w:r>
                <w:r w:rsidR="00B201B5" w:rsidRPr="00D1069A">
                  <w:rPr>
                    <w:rFonts w:ascii="Calibri" w:hAnsi="Calibri" w:cs="Calibri"/>
                    <w:color w:val="000000" w:themeColor="text1"/>
                    <w:sz w:val="16"/>
                    <w:szCs w:val="16"/>
                  </w:rPr>
                  <w:t>) 2021</w:t>
                </w:r>
              </w:sdtContent>
            </w:sdt>
          </w:p>
          <w:p w14:paraId="34836EB6" w14:textId="50E978B6" w:rsidR="00B201B5" w:rsidRPr="00D1069A" w:rsidRDefault="00B201B5"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0089353C">
              <w:rPr>
                <w:rFonts w:asciiTheme="majorHAnsi" w:hAnsiTheme="majorHAnsi" w:cstheme="majorHAnsi"/>
                <w:b/>
                <w:bCs/>
                <w:noProof/>
                <w:color w:val="000000" w:themeColor="text1"/>
                <w:sz w:val="16"/>
                <w:szCs w:val="16"/>
              </w:rPr>
              <w:t>2</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0089353C">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B201B5" w:rsidRPr="00C32DA3" w:rsidRDefault="00B201B5"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549D" w14:textId="77777777" w:rsidR="00B201B5" w:rsidRDefault="00B201B5" w:rsidP="00EC610C">
      <w:r>
        <w:separator/>
      </w:r>
    </w:p>
  </w:footnote>
  <w:footnote w:type="continuationSeparator" w:id="0">
    <w:p w14:paraId="5EC6710A" w14:textId="77777777" w:rsidR="00B201B5" w:rsidRDefault="00B201B5" w:rsidP="00EC610C">
      <w:r>
        <w:continuationSeparator/>
      </w:r>
    </w:p>
  </w:footnote>
  <w:footnote w:id="1">
    <w:p w14:paraId="6C8DDBC4" w14:textId="77777777" w:rsidR="00B201B5" w:rsidRPr="001E00FF" w:rsidRDefault="00B201B5" w:rsidP="001E00FF">
      <w:pPr>
        <w:jc w:val="both"/>
        <w:rPr>
          <w:rFonts w:asciiTheme="majorHAnsi" w:hAnsiTheme="majorHAnsi" w:cstheme="majorHAnsi"/>
          <w:sz w:val="18"/>
          <w:szCs w:val="18"/>
          <w:lang w:val="en-GB"/>
        </w:rPr>
      </w:pPr>
      <w:r>
        <w:rPr>
          <w:rStyle w:val="Appelnotedebasdep"/>
        </w:rPr>
        <w:footnoteRef/>
      </w:r>
      <w:r w:rsidRPr="001B2A38">
        <w:rPr>
          <w:lang w:val="en-GB"/>
        </w:rPr>
        <w:t xml:space="preserve"> </w:t>
      </w:r>
      <w:r w:rsidRPr="001E00FF">
        <w:rPr>
          <w:rFonts w:asciiTheme="majorHAnsi" w:hAnsiTheme="majorHAnsi" w:cstheme="majorHAnsi"/>
          <w:sz w:val="18"/>
          <w:szCs w:val="18"/>
          <w:lang w:val="en-GB"/>
        </w:rPr>
        <w:t>Additional information on the purpose of processing your personal data, what data we collect, who has access to it and how it is protected, can be found at:</w:t>
      </w:r>
    </w:p>
    <w:p w14:paraId="1934D502" w14:textId="77777777" w:rsidR="00B201B5" w:rsidRPr="001B2A38" w:rsidRDefault="008E6D8A" w:rsidP="001E00FF">
      <w:pPr>
        <w:pStyle w:val="Notedebasdepage"/>
        <w:rPr>
          <w:lang w:val="hr-HR"/>
        </w:rPr>
      </w:pPr>
      <w:hyperlink r:id="rId1" w:history="1">
        <w:r w:rsidR="00B201B5" w:rsidRPr="001E00FF">
          <w:rPr>
            <w:rStyle w:val="Lienhypertexte"/>
            <w:rFonts w:asciiTheme="majorHAnsi" w:hAnsiTheme="majorHAnsi" w:cstheme="majorHAnsi"/>
            <w:sz w:val="18"/>
            <w:szCs w:val="18"/>
            <w:lang w:val="en-GB"/>
          </w:rPr>
          <w:t>https://ec.europa.eu/programmes/erasmus-plus/specific-privacy-statement_en</w:t>
        </w:r>
      </w:hyperlink>
    </w:p>
  </w:footnote>
  <w:footnote w:id="2">
    <w:p w14:paraId="473769DD" w14:textId="2DE59CFA" w:rsidR="00B201B5" w:rsidRPr="00503FB5" w:rsidRDefault="00B201B5" w:rsidP="001E00FF">
      <w:pPr>
        <w:jc w:val="both"/>
        <w:rPr>
          <w:rFonts w:asciiTheme="majorHAnsi" w:hAnsiTheme="majorHAnsi" w:cstheme="majorHAnsi"/>
          <w:sz w:val="18"/>
          <w:szCs w:val="18"/>
        </w:rPr>
      </w:pPr>
      <w:r>
        <w:rPr>
          <w:rStyle w:val="Appelnotedebasdep"/>
        </w:rPr>
        <w:footnoteRef/>
      </w:r>
      <w:r w:rsidRPr="00503FB5">
        <w:t xml:space="preserve"> </w:t>
      </w:r>
      <w:r w:rsidRPr="00503FB5">
        <w:rPr>
          <w:rFonts w:asciiTheme="majorHAnsi" w:hAnsiTheme="majorHAnsi" w:cstheme="majorHAnsi"/>
          <w:sz w:val="18"/>
          <w:szCs w:val="18"/>
        </w:rPr>
        <w:t>Des informations supplémentaires sur le traitement des données personnelles, des données que nous collectons, des personnes qui y ont accès et sur la manière dont elles sont protégées, à l'adresse suivante :</w:t>
      </w:r>
    </w:p>
    <w:p w14:paraId="33E51D46" w14:textId="77777777" w:rsidR="00B201B5" w:rsidRPr="001B2A38" w:rsidRDefault="008E6D8A" w:rsidP="001E00FF">
      <w:pPr>
        <w:pStyle w:val="Notedebasdepage"/>
        <w:rPr>
          <w:lang w:val="hr-HR"/>
        </w:rPr>
      </w:pPr>
      <w:hyperlink r:id="rId2" w:history="1">
        <w:r w:rsidR="00B201B5" w:rsidRPr="00503FB5">
          <w:rPr>
            <w:rStyle w:val="Lienhypertexte"/>
            <w:rFonts w:asciiTheme="majorHAnsi" w:hAnsiTheme="majorHAnsi" w:cstheme="majorHAnsi"/>
            <w:sz w:val="18"/>
            <w:szCs w:val="18"/>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045A" w14:textId="3CD956A9" w:rsidR="00B201B5" w:rsidRDefault="00B201B5"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0288" behindDoc="0" locked="0" layoutInCell="1" allowOverlap="1" wp14:anchorId="0D880E83" wp14:editId="7EDDB45B">
          <wp:simplePos x="0" y="0"/>
          <wp:positionH relativeFrom="column">
            <wp:posOffset>5105400</wp:posOffset>
          </wp:positionH>
          <wp:positionV relativeFrom="paragraph">
            <wp:posOffset>-392430</wp:posOffset>
          </wp:positionV>
          <wp:extent cx="1752600" cy="640715"/>
          <wp:effectExtent l="0" t="0" r="0" b="6985"/>
          <wp:wrapThrough wrapText="bothSides">
            <wp:wrapPolygon edited="0">
              <wp:start x="0" y="0"/>
              <wp:lineTo x="0" y="21193"/>
              <wp:lineTo x="21365" y="21193"/>
              <wp:lineTo x="21365"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UT3 V2-01-01.jpg"/>
                  <pic:cNvPicPr/>
                </pic:nvPicPr>
                <pic:blipFill>
                  <a:blip r:embed="rId1"/>
                  <a:stretch>
                    <a:fillRect/>
                  </a:stretch>
                </pic:blipFill>
                <pic:spPr>
                  <a:xfrm>
                    <a:off x="0" y="0"/>
                    <a:ext cx="1752600" cy="640715"/>
                  </a:xfrm>
                  <a:prstGeom prst="rect">
                    <a:avLst/>
                  </a:prstGeom>
                </pic:spPr>
              </pic:pic>
            </a:graphicData>
          </a:graphic>
        </wp:anchor>
      </w:drawing>
    </w:r>
    <w:r>
      <w:rPr>
        <w:noProof/>
      </w:rPr>
      <w:drawing>
        <wp:anchor distT="0" distB="0" distL="114300" distR="114300" simplePos="0" relativeHeight="251657216" behindDoc="0" locked="0" layoutInCell="1" allowOverlap="1" wp14:anchorId="2D1C3899" wp14:editId="6523D4BA">
          <wp:simplePos x="0" y="0"/>
          <wp:positionH relativeFrom="column">
            <wp:posOffset>-469265</wp:posOffset>
          </wp:positionH>
          <wp:positionV relativeFrom="paragraph">
            <wp:posOffset>-398780</wp:posOffset>
          </wp:positionV>
          <wp:extent cx="2151380" cy="359410"/>
          <wp:effectExtent l="0" t="0" r="1270" b="254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2">
                    <a:extLst>
                      <a:ext uri="{28A0092B-C50C-407E-A947-70E740481C1C}">
                        <a14:useLocalDpi xmlns:a14="http://schemas.microsoft.com/office/drawing/2010/main" val="0"/>
                      </a:ext>
                    </a:extLst>
                  </a:blip>
                  <a:stretch>
                    <a:fillRect/>
                  </a:stretch>
                </pic:blipFill>
                <pic:spPr>
                  <a:xfrm>
                    <a:off x="0" y="0"/>
                    <a:ext cx="2151380" cy="3594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3"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327673">
    <w:abstractNumId w:val="8"/>
  </w:num>
  <w:num w:numId="2" w16cid:durableId="1293485099">
    <w:abstractNumId w:val="14"/>
  </w:num>
  <w:num w:numId="3" w16cid:durableId="1461612445">
    <w:abstractNumId w:val="13"/>
  </w:num>
  <w:num w:numId="4" w16cid:durableId="386882800">
    <w:abstractNumId w:val="16"/>
  </w:num>
  <w:num w:numId="5" w16cid:durableId="352149889">
    <w:abstractNumId w:val="10"/>
  </w:num>
  <w:num w:numId="6" w16cid:durableId="1801651508">
    <w:abstractNumId w:val="11"/>
  </w:num>
  <w:num w:numId="7" w16cid:durableId="1713379389">
    <w:abstractNumId w:val="2"/>
  </w:num>
  <w:num w:numId="8" w16cid:durableId="61102781">
    <w:abstractNumId w:val="7"/>
  </w:num>
  <w:num w:numId="9" w16cid:durableId="763646745">
    <w:abstractNumId w:val="15"/>
  </w:num>
  <w:num w:numId="10" w16cid:durableId="2079471590">
    <w:abstractNumId w:val="3"/>
  </w:num>
  <w:num w:numId="11" w16cid:durableId="1498694069">
    <w:abstractNumId w:val="9"/>
  </w:num>
  <w:num w:numId="12" w16cid:durableId="945120255">
    <w:abstractNumId w:val="6"/>
  </w:num>
  <w:num w:numId="13" w16cid:durableId="861020482">
    <w:abstractNumId w:val="1"/>
  </w:num>
  <w:num w:numId="14" w16cid:durableId="1075205322">
    <w:abstractNumId w:val="7"/>
  </w:num>
  <w:num w:numId="15" w16cid:durableId="1963000222">
    <w:abstractNumId w:val="12"/>
  </w:num>
  <w:num w:numId="16" w16cid:durableId="1196239253">
    <w:abstractNumId w:val="0"/>
  </w:num>
  <w:num w:numId="17" w16cid:durableId="934705750">
    <w:abstractNumId w:val="4"/>
  </w:num>
  <w:num w:numId="18" w16cid:durableId="94180438">
    <w:abstractNumId w:val="5"/>
  </w:num>
  <w:num w:numId="19" w16cid:durableId="1029179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10C"/>
    <w:rsid w:val="00014B6A"/>
    <w:rsid w:val="000203D3"/>
    <w:rsid w:val="0002586F"/>
    <w:rsid w:val="00030946"/>
    <w:rsid w:val="00037958"/>
    <w:rsid w:val="00047BB2"/>
    <w:rsid w:val="0005473F"/>
    <w:rsid w:val="000753D5"/>
    <w:rsid w:val="000830E8"/>
    <w:rsid w:val="00086A4D"/>
    <w:rsid w:val="00090677"/>
    <w:rsid w:val="0009106B"/>
    <w:rsid w:val="00093A19"/>
    <w:rsid w:val="000A2AA0"/>
    <w:rsid w:val="000A79E9"/>
    <w:rsid w:val="000B2C2C"/>
    <w:rsid w:val="000B383E"/>
    <w:rsid w:val="000B5FB4"/>
    <w:rsid w:val="000C0926"/>
    <w:rsid w:val="000D25BE"/>
    <w:rsid w:val="000E49C4"/>
    <w:rsid w:val="000F0434"/>
    <w:rsid w:val="000F048D"/>
    <w:rsid w:val="000F3B81"/>
    <w:rsid w:val="000F68E2"/>
    <w:rsid w:val="00100E6A"/>
    <w:rsid w:val="001019A4"/>
    <w:rsid w:val="00102B8A"/>
    <w:rsid w:val="0010369A"/>
    <w:rsid w:val="00103D65"/>
    <w:rsid w:val="001100A7"/>
    <w:rsid w:val="00110F3E"/>
    <w:rsid w:val="0011610D"/>
    <w:rsid w:val="001165CF"/>
    <w:rsid w:val="00126245"/>
    <w:rsid w:val="00144B44"/>
    <w:rsid w:val="00156CA2"/>
    <w:rsid w:val="00162AC2"/>
    <w:rsid w:val="0017172A"/>
    <w:rsid w:val="001758FD"/>
    <w:rsid w:val="001851C6"/>
    <w:rsid w:val="001854ED"/>
    <w:rsid w:val="001A18F2"/>
    <w:rsid w:val="001A2238"/>
    <w:rsid w:val="001B0089"/>
    <w:rsid w:val="001B0E79"/>
    <w:rsid w:val="001B2B4F"/>
    <w:rsid w:val="001B328D"/>
    <w:rsid w:val="001D7829"/>
    <w:rsid w:val="001E00FF"/>
    <w:rsid w:val="001F053D"/>
    <w:rsid w:val="001F4AEB"/>
    <w:rsid w:val="001F720D"/>
    <w:rsid w:val="001F74C4"/>
    <w:rsid w:val="0020536C"/>
    <w:rsid w:val="00212154"/>
    <w:rsid w:val="0021661B"/>
    <w:rsid w:val="00221204"/>
    <w:rsid w:val="00227926"/>
    <w:rsid w:val="002308CE"/>
    <w:rsid w:val="002332E4"/>
    <w:rsid w:val="00235AF1"/>
    <w:rsid w:val="00236514"/>
    <w:rsid w:val="00241581"/>
    <w:rsid w:val="002445CF"/>
    <w:rsid w:val="002474A6"/>
    <w:rsid w:val="00257B63"/>
    <w:rsid w:val="002615A2"/>
    <w:rsid w:val="00262047"/>
    <w:rsid w:val="0026483C"/>
    <w:rsid w:val="0027487D"/>
    <w:rsid w:val="00274FE1"/>
    <w:rsid w:val="002765B0"/>
    <w:rsid w:val="002804B0"/>
    <w:rsid w:val="002834AB"/>
    <w:rsid w:val="00284A3E"/>
    <w:rsid w:val="002862C2"/>
    <w:rsid w:val="00296220"/>
    <w:rsid w:val="002A1341"/>
    <w:rsid w:val="002A4269"/>
    <w:rsid w:val="002C092F"/>
    <w:rsid w:val="002C1EA5"/>
    <w:rsid w:val="002C5E1C"/>
    <w:rsid w:val="002C6F11"/>
    <w:rsid w:val="002D5588"/>
    <w:rsid w:val="002E1811"/>
    <w:rsid w:val="002E7E94"/>
    <w:rsid w:val="002F03AC"/>
    <w:rsid w:val="002F1106"/>
    <w:rsid w:val="002F40D3"/>
    <w:rsid w:val="002F62B6"/>
    <w:rsid w:val="003043A3"/>
    <w:rsid w:val="00305D02"/>
    <w:rsid w:val="00312FBE"/>
    <w:rsid w:val="00315A42"/>
    <w:rsid w:val="00317794"/>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3DBC"/>
    <w:rsid w:val="003A6A76"/>
    <w:rsid w:val="003B197F"/>
    <w:rsid w:val="003B2C7F"/>
    <w:rsid w:val="003C08DC"/>
    <w:rsid w:val="003C5CE4"/>
    <w:rsid w:val="003D248A"/>
    <w:rsid w:val="00404F80"/>
    <w:rsid w:val="00426E85"/>
    <w:rsid w:val="00430D42"/>
    <w:rsid w:val="00433CB2"/>
    <w:rsid w:val="0043542F"/>
    <w:rsid w:val="00437171"/>
    <w:rsid w:val="0044116F"/>
    <w:rsid w:val="00447AD0"/>
    <w:rsid w:val="00451980"/>
    <w:rsid w:val="00451E23"/>
    <w:rsid w:val="0045288C"/>
    <w:rsid w:val="00453439"/>
    <w:rsid w:val="0045698C"/>
    <w:rsid w:val="00463A78"/>
    <w:rsid w:val="00465BE9"/>
    <w:rsid w:val="004801C5"/>
    <w:rsid w:val="00495037"/>
    <w:rsid w:val="004A73AD"/>
    <w:rsid w:val="004A7E0B"/>
    <w:rsid w:val="004A7F42"/>
    <w:rsid w:val="004B278A"/>
    <w:rsid w:val="004B4FAC"/>
    <w:rsid w:val="004B7420"/>
    <w:rsid w:val="004C4CA5"/>
    <w:rsid w:val="004D0315"/>
    <w:rsid w:val="004D4B6B"/>
    <w:rsid w:val="00503FB5"/>
    <w:rsid w:val="00510E3C"/>
    <w:rsid w:val="0053429B"/>
    <w:rsid w:val="00534389"/>
    <w:rsid w:val="005476F6"/>
    <w:rsid w:val="0055005B"/>
    <w:rsid w:val="005511EA"/>
    <w:rsid w:val="00552F81"/>
    <w:rsid w:val="005600AD"/>
    <w:rsid w:val="00564690"/>
    <w:rsid w:val="00574D34"/>
    <w:rsid w:val="00580E9B"/>
    <w:rsid w:val="0059486B"/>
    <w:rsid w:val="00594C55"/>
    <w:rsid w:val="005A3890"/>
    <w:rsid w:val="005A5093"/>
    <w:rsid w:val="005B0FBC"/>
    <w:rsid w:val="005B6224"/>
    <w:rsid w:val="005C07D4"/>
    <w:rsid w:val="005C5D22"/>
    <w:rsid w:val="005D22B3"/>
    <w:rsid w:val="005D577C"/>
    <w:rsid w:val="006107EA"/>
    <w:rsid w:val="006118B9"/>
    <w:rsid w:val="00612151"/>
    <w:rsid w:val="006178F5"/>
    <w:rsid w:val="006220EB"/>
    <w:rsid w:val="00641675"/>
    <w:rsid w:val="00642952"/>
    <w:rsid w:val="006510CA"/>
    <w:rsid w:val="00651DBC"/>
    <w:rsid w:val="00653AA8"/>
    <w:rsid w:val="00653B56"/>
    <w:rsid w:val="00657B57"/>
    <w:rsid w:val="006637DD"/>
    <w:rsid w:val="006645E7"/>
    <w:rsid w:val="00673174"/>
    <w:rsid w:val="006763D9"/>
    <w:rsid w:val="00680CD6"/>
    <w:rsid w:val="00684048"/>
    <w:rsid w:val="00685A5D"/>
    <w:rsid w:val="00690781"/>
    <w:rsid w:val="006A0B29"/>
    <w:rsid w:val="006A19D3"/>
    <w:rsid w:val="006A7738"/>
    <w:rsid w:val="006B618A"/>
    <w:rsid w:val="006C73B2"/>
    <w:rsid w:val="006E0DE3"/>
    <w:rsid w:val="006F1CD4"/>
    <w:rsid w:val="006F37EA"/>
    <w:rsid w:val="00703C2A"/>
    <w:rsid w:val="00704A15"/>
    <w:rsid w:val="00707C7D"/>
    <w:rsid w:val="00711581"/>
    <w:rsid w:val="007160D6"/>
    <w:rsid w:val="00737C55"/>
    <w:rsid w:val="00756220"/>
    <w:rsid w:val="0075635F"/>
    <w:rsid w:val="007577E5"/>
    <w:rsid w:val="00763B87"/>
    <w:rsid w:val="00767E93"/>
    <w:rsid w:val="007726AE"/>
    <w:rsid w:val="007731FF"/>
    <w:rsid w:val="0077484E"/>
    <w:rsid w:val="00774B06"/>
    <w:rsid w:val="00784925"/>
    <w:rsid w:val="00792515"/>
    <w:rsid w:val="00795E43"/>
    <w:rsid w:val="007A39FC"/>
    <w:rsid w:val="007A4139"/>
    <w:rsid w:val="007A46C0"/>
    <w:rsid w:val="007A6321"/>
    <w:rsid w:val="007B47D1"/>
    <w:rsid w:val="007B5A71"/>
    <w:rsid w:val="007C2D3E"/>
    <w:rsid w:val="007C54AE"/>
    <w:rsid w:val="007D23D4"/>
    <w:rsid w:val="007D5EBD"/>
    <w:rsid w:val="007D7A7F"/>
    <w:rsid w:val="007E55E0"/>
    <w:rsid w:val="007E5BFF"/>
    <w:rsid w:val="007F25A9"/>
    <w:rsid w:val="007F43E5"/>
    <w:rsid w:val="00804C3F"/>
    <w:rsid w:val="00806D00"/>
    <w:rsid w:val="00806EBD"/>
    <w:rsid w:val="008075BF"/>
    <w:rsid w:val="008077C6"/>
    <w:rsid w:val="00821142"/>
    <w:rsid w:val="00822A54"/>
    <w:rsid w:val="00826285"/>
    <w:rsid w:val="00833380"/>
    <w:rsid w:val="00846F7C"/>
    <w:rsid w:val="00847399"/>
    <w:rsid w:val="00853D58"/>
    <w:rsid w:val="008604CA"/>
    <w:rsid w:val="00875E93"/>
    <w:rsid w:val="00881E9C"/>
    <w:rsid w:val="008840E5"/>
    <w:rsid w:val="008879C1"/>
    <w:rsid w:val="008932DD"/>
    <w:rsid w:val="0089353C"/>
    <w:rsid w:val="008A0092"/>
    <w:rsid w:val="008A1F74"/>
    <w:rsid w:val="008A3286"/>
    <w:rsid w:val="008A6A85"/>
    <w:rsid w:val="008A7583"/>
    <w:rsid w:val="008B5149"/>
    <w:rsid w:val="008B5693"/>
    <w:rsid w:val="008C67BC"/>
    <w:rsid w:val="008C7ECF"/>
    <w:rsid w:val="008D4C93"/>
    <w:rsid w:val="008E6D8A"/>
    <w:rsid w:val="008F1024"/>
    <w:rsid w:val="008F7BB4"/>
    <w:rsid w:val="00904612"/>
    <w:rsid w:val="00913A2F"/>
    <w:rsid w:val="009175C8"/>
    <w:rsid w:val="00917857"/>
    <w:rsid w:val="00922EE0"/>
    <w:rsid w:val="00927858"/>
    <w:rsid w:val="009358B3"/>
    <w:rsid w:val="00936A08"/>
    <w:rsid w:val="00961084"/>
    <w:rsid w:val="009613BD"/>
    <w:rsid w:val="00961BCC"/>
    <w:rsid w:val="009803C2"/>
    <w:rsid w:val="00981F7D"/>
    <w:rsid w:val="00983920"/>
    <w:rsid w:val="00996A45"/>
    <w:rsid w:val="009A1FD1"/>
    <w:rsid w:val="009A5DCF"/>
    <w:rsid w:val="009B7611"/>
    <w:rsid w:val="009E1298"/>
    <w:rsid w:val="009E576C"/>
    <w:rsid w:val="009E7D5F"/>
    <w:rsid w:val="009F29DE"/>
    <w:rsid w:val="00A2430A"/>
    <w:rsid w:val="00A24341"/>
    <w:rsid w:val="00A36FDE"/>
    <w:rsid w:val="00A44AB0"/>
    <w:rsid w:val="00A4554F"/>
    <w:rsid w:val="00A50738"/>
    <w:rsid w:val="00A5125F"/>
    <w:rsid w:val="00A53CFF"/>
    <w:rsid w:val="00A5569F"/>
    <w:rsid w:val="00A56638"/>
    <w:rsid w:val="00A64525"/>
    <w:rsid w:val="00A65BBD"/>
    <w:rsid w:val="00A7179C"/>
    <w:rsid w:val="00A71C85"/>
    <w:rsid w:val="00A76DBE"/>
    <w:rsid w:val="00A770E5"/>
    <w:rsid w:val="00A81351"/>
    <w:rsid w:val="00A81565"/>
    <w:rsid w:val="00A90F6A"/>
    <w:rsid w:val="00A92EE3"/>
    <w:rsid w:val="00AA17B7"/>
    <w:rsid w:val="00AA35BC"/>
    <w:rsid w:val="00AA7B0F"/>
    <w:rsid w:val="00AB4A14"/>
    <w:rsid w:val="00AB5A84"/>
    <w:rsid w:val="00AC374E"/>
    <w:rsid w:val="00AC77B1"/>
    <w:rsid w:val="00AD453E"/>
    <w:rsid w:val="00AD5B08"/>
    <w:rsid w:val="00AE20F7"/>
    <w:rsid w:val="00AE43CB"/>
    <w:rsid w:val="00AF152D"/>
    <w:rsid w:val="00AF1727"/>
    <w:rsid w:val="00AF3980"/>
    <w:rsid w:val="00AF7EDD"/>
    <w:rsid w:val="00B001C8"/>
    <w:rsid w:val="00B023A8"/>
    <w:rsid w:val="00B10C62"/>
    <w:rsid w:val="00B12891"/>
    <w:rsid w:val="00B201B5"/>
    <w:rsid w:val="00B2125B"/>
    <w:rsid w:val="00B250F3"/>
    <w:rsid w:val="00B34681"/>
    <w:rsid w:val="00B351DD"/>
    <w:rsid w:val="00B373D3"/>
    <w:rsid w:val="00B37C22"/>
    <w:rsid w:val="00B45A23"/>
    <w:rsid w:val="00B46AA2"/>
    <w:rsid w:val="00B5547A"/>
    <w:rsid w:val="00B633AD"/>
    <w:rsid w:val="00B72434"/>
    <w:rsid w:val="00B822C7"/>
    <w:rsid w:val="00B843D7"/>
    <w:rsid w:val="00B84FDE"/>
    <w:rsid w:val="00B90542"/>
    <w:rsid w:val="00B93158"/>
    <w:rsid w:val="00BA1F8A"/>
    <w:rsid w:val="00BA3FE5"/>
    <w:rsid w:val="00BA4655"/>
    <w:rsid w:val="00BB1F3A"/>
    <w:rsid w:val="00BB221B"/>
    <w:rsid w:val="00BB60BA"/>
    <w:rsid w:val="00BB6CAB"/>
    <w:rsid w:val="00BB749D"/>
    <w:rsid w:val="00BC1146"/>
    <w:rsid w:val="00BC2080"/>
    <w:rsid w:val="00BC7A24"/>
    <w:rsid w:val="00BD167C"/>
    <w:rsid w:val="00BD7609"/>
    <w:rsid w:val="00BE1791"/>
    <w:rsid w:val="00BE3584"/>
    <w:rsid w:val="00BE5B65"/>
    <w:rsid w:val="00BF29A3"/>
    <w:rsid w:val="00BF43D1"/>
    <w:rsid w:val="00C03B52"/>
    <w:rsid w:val="00C05E7D"/>
    <w:rsid w:val="00C10A04"/>
    <w:rsid w:val="00C11808"/>
    <w:rsid w:val="00C145E1"/>
    <w:rsid w:val="00C220F1"/>
    <w:rsid w:val="00C32DA3"/>
    <w:rsid w:val="00C3516F"/>
    <w:rsid w:val="00C3574A"/>
    <w:rsid w:val="00C42288"/>
    <w:rsid w:val="00C52083"/>
    <w:rsid w:val="00C542FE"/>
    <w:rsid w:val="00C54910"/>
    <w:rsid w:val="00C55787"/>
    <w:rsid w:val="00C60EF1"/>
    <w:rsid w:val="00C6367E"/>
    <w:rsid w:val="00C6441F"/>
    <w:rsid w:val="00C822EA"/>
    <w:rsid w:val="00C83E6E"/>
    <w:rsid w:val="00C85794"/>
    <w:rsid w:val="00C85ABA"/>
    <w:rsid w:val="00C86B9E"/>
    <w:rsid w:val="00C90942"/>
    <w:rsid w:val="00C971BF"/>
    <w:rsid w:val="00CA3386"/>
    <w:rsid w:val="00CB51A0"/>
    <w:rsid w:val="00CC034C"/>
    <w:rsid w:val="00CC33D0"/>
    <w:rsid w:val="00CC672B"/>
    <w:rsid w:val="00CD02CC"/>
    <w:rsid w:val="00CD747C"/>
    <w:rsid w:val="00CE212B"/>
    <w:rsid w:val="00CE410B"/>
    <w:rsid w:val="00D05199"/>
    <w:rsid w:val="00D1069A"/>
    <w:rsid w:val="00D14E12"/>
    <w:rsid w:val="00D25853"/>
    <w:rsid w:val="00D33954"/>
    <w:rsid w:val="00D41FDF"/>
    <w:rsid w:val="00D43EEA"/>
    <w:rsid w:val="00D4408C"/>
    <w:rsid w:val="00D50332"/>
    <w:rsid w:val="00D57E8D"/>
    <w:rsid w:val="00D622DB"/>
    <w:rsid w:val="00D76433"/>
    <w:rsid w:val="00D853C5"/>
    <w:rsid w:val="00D93E78"/>
    <w:rsid w:val="00DA3D58"/>
    <w:rsid w:val="00DB2F72"/>
    <w:rsid w:val="00DC4711"/>
    <w:rsid w:val="00DE048D"/>
    <w:rsid w:val="00DE2AD3"/>
    <w:rsid w:val="00DE3137"/>
    <w:rsid w:val="00E0174B"/>
    <w:rsid w:val="00E01A3D"/>
    <w:rsid w:val="00E01C8A"/>
    <w:rsid w:val="00E051BF"/>
    <w:rsid w:val="00E10E72"/>
    <w:rsid w:val="00E12C82"/>
    <w:rsid w:val="00E131A5"/>
    <w:rsid w:val="00E17A14"/>
    <w:rsid w:val="00E205F1"/>
    <w:rsid w:val="00E265D5"/>
    <w:rsid w:val="00E31D29"/>
    <w:rsid w:val="00E44AFD"/>
    <w:rsid w:val="00E55AE2"/>
    <w:rsid w:val="00E64EC9"/>
    <w:rsid w:val="00E77239"/>
    <w:rsid w:val="00E77CC5"/>
    <w:rsid w:val="00E846E9"/>
    <w:rsid w:val="00E8691E"/>
    <w:rsid w:val="00E8765D"/>
    <w:rsid w:val="00E96310"/>
    <w:rsid w:val="00E9760A"/>
    <w:rsid w:val="00EA53E0"/>
    <w:rsid w:val="00EB5B3D"/>
    <w:rsid w:val="00EC08D2"/>
    <w:rsid w:val="00EC2B83"/>
    <w:rsid w:val="00EC610C"/>
    <w:rsid w:val="00ED3250"/>
    <w:rsid w:val="00EE1B35"/>
    <w:rsid w:val="00EE3AEA"/>
    <w:rsid w:val="00EF03EC"/>
    <w:rsid w:val="00EF12FA"/>
    <w:rsid w:val="00EF320B"/>
    <w:rsid w:val="00EF6ECE"/>
    <w:rsid w:val="00F05D5B"/>
    <w:rsid w:val="00F11AB7"/>
    <w:rsid w:val="00F1233C"/>
    <w:rsid w:val="00F14F14"/>
    <w:rsid w:val="00F16822"/>
    <w:rsid w:val="00F2008A"/>
    <w:rsid w:val="00F3217E"/>
    <w:rsid w:val="00F33A0F"/>
    <w:rsid w:val="00F346BB"/>
    <w:rsid w:val="00F34D1B"/>
    <w:rsid w:val="00F40586"/>
    <w:rsid w:val="00F4222C"/>
    <w:rsid w:val="00F432A7"/>
    <w:rsid w:val="00F46E73"/>
    <w:rsid w:val="00F642DD"/>
    <w:rsid w:val="00F71F31"/>
    <w:rsid w:val="00F7240A"/>
    <w:rsid w:val="00F914B4"/>
    <w:rsid w:val="00F91B11"/>
    <w:rsid w:val="00F9441B"/>
    <w:rsid w:val="00FA3E30"/>
    <w:rsid w:val="00FA4AB0"/>
    <w:rsid w:val="00FA4E26"/>
    <w:rsid w:val="00FA4F80"/>
    <w:rsid w:val="00FA7257"/>
    <w:rsid w:val="00FC0103"/>
    <w:rsid w:val="00FC1746"/>
    <w:rsid w:val="00FC5369"/>
    <w:rsid w:val="00FC59FE"/>
    <w:rsid w:val="00FC6413"/>
    <w:rsid w:val="00FC68F5"/>
    <w:rsid w:val="00FC7E6B"/>
    <w:rsid w:val="00FD2002"/>
    <w:rsid w:val="00FE40FF"/>
    <w:rsid w:val="00FE61D2"/>
    <w:rsid w:val="00FE6EF8"/>
    <w:rsid w:val="00FF4CA7"/>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72337BD"/>
  <w15:docId w15:val="{2D10EA9E-7FB4-4E24-AEAE-D8BA4600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customStyle="1" w:styleId="Mentionnonrsolue1">
    <w:name w:val="Mention non résolue1"/>
    <w:basedOn w:val="Policepardfaut"/>
    <w:uiPriority w:val="99"/>
    <w:semiHidden/>
    <w:unhideWhenUsed/>
    <w:rsid w:val="007A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736247330">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programmes/erasmus-plus/specific-privacy-statement_en" TargetMode="External"/><Relationship Id="rId1" Type="http://schemas.openxmlformats.org/officeDocument/2006/relationships/hyperlink" Target="https://ec.europa.eu/programmes/erasmus-plus/specific-privacy-statement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2F341-0672-44E6-A77B-9DF52FFBC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1089</Words>
  <Characters>5995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robisco</dc:creator>
  <cp:lastModifiedBy>Catherine Bailleul</cp:lastModifiedBy>
  <cp:revision>3</cp:revision>
  <cp:lastPrinted>2019-03-12T15:16:00Z</cp:lastPrinted>
  <dcterms:created xsi:type="dcterms:W3CDTF">2022-05-16T15:03:00Z</dcterms:created>
  <dcterms:modified xsi:type="dcterms:W3CDTF">2022-05-16T15:04:00Z</dcterms:modified>
</cp:coreProperties>
</file>